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7.jpeg" ContentType="image/jpeg"/>
  <Override PartName="/word/media/image3.gif" ContentType="image/gif"/>
  <Override PartName="/word/media/image4.gif" ContentType="image/gif"/>
  <Override PartName="/word/media/image6.jpeg" ContentType="image/jpeg"/>
  <Override PartName="/word/media/image5.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cel-20260422.htm"/>
      <w:bookmarkStart w:id="1" w:name="ksrcel20260422"/>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SCHEDULE 14A </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pPr>
      <w:r>
        <w:rPr/>
        <w:t> </w:t>
      </w:r>
    </w:p>
    <w:tbl>
      <w:tblPr>
        <w:tblW w:w="5912" w:type="dxa"/>
        <w:jc w:val="left"/>
        <w:tblInd w:w="0" w:type="dxa"/>
        <w:tblLayout w:type="fixed"/>
        <w:tblCellMar>
          <w:top w:w="28" w:type="dxa"/>
          <w:left w:w="28" w:type="dxa"/>
          <w:bottom w:w="28" w:type="dxa"/>
          <w:right w:w="28" w:type="dxa"/>
        </w:tblCellMar>
      </w:tblPr>
      <w:tblGrid>
        <w:gridCol w:w="2206"/>
        <w:gridCol w:w="3706"/>
      </w:tblGrid>
      <w:tr>
        <w:trPr/>
        <w:tc>
          <w:tcPr>
            <w:tcW w:w="22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331"/>
        <w:gridCol w:w="6871"/>
      </w:tblGrid>
      <w:tr>
        <w:trPr/>
        <w:tc>
          <w:tcPr>
            <w:tcW w:w="331"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Section 240.14a-12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(Name of Person(s) Filing Proxy Statement, if other than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p>
      <w:pPr>
        <w:pStyle w:val="TextBody"/>
        <w:bidi w:val="0"/>
        <w:jc w:val="left"/>
        <w:rPr/>
      </w:pPr>
      <w:r>
        <w:rPr/>
        <w:t> </w:t>
      </w:r>
    </w:p>
    <w:tbl>
      <w:tblPr>
        <w:tblW w:w="8747" w:type="dxa"/>
        <w:jc w:val="left"/>
        <w:tblInd w:w="0" w:type="dxa"/>
        <w:tblLayout w:type="fixed"/>
        <w:tblCellMar>
          <w:top w:w="28" w:type="dxa"/>
          <w:left w:w="28" w:type="dxa"/>
          <w:bottom w:w="28" w:type="dxa"/>
          <w:right w:w="28" w:type="dxa"/>
        </w:tblCellMar>
      </w:tblPr>
      <w:tblGrid>
        <w:gridCol w:w="331"/>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77152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1525" cy="933450"/>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sz w:val="20"/>
        </w:rPr>
      </w:pPr>
      <w:r>
        <w:rPr>
          <w:rFonts w:ascii="Times New Roman" w:hAnsi="Times New Roman"/>
          <w:b/>
          <w:color w:val="000000"/>
          <w:sz w:val="20"/>
        </w:rPr>
        <w:t>NOTICE OF 2026 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3,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of AVITA Medical,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NOTICE IS HEREBY GIVEN that the 2026 Annual Meeting of Stockholders (the “Annual Meeting”) of AVITA Medical, Inc. (the “Company”), a Delaware corporation, will be held on June 3, 2026, at 3:00 p.m. Pacific Daylight Time (being June 4, 2026, at 8:00 a.m. Australian Eastern Standard Time). The Annual Meeting will be held solely by means of remote communication via live webcast at meetnow.global/MXCFDJM for the following purposes: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1: To elect seven directors to serve for one-year terms on the Company’s board of directors (the “Board”) or until their respective successors have been duly elected and qualified;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2: To ratify the appointment of Grant Thornton LLP as the Company’s independent registered public accounting firm for the fiscal year ending December 31, 2026;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Proposal 3: To approve, for the purposes of ASX Listing Rule 10.17 of the Australian Securities Exchange (the “ASX”) and the Company’s Amended and Restated Bylaws (the “Company’s Bylaws”) and for all other purposes, that the maximum aggregate annual cash fee pool from which the non-executive Directors of the Company may be paid for their services on the Board be increased from US$750,000 per annum to US$900,000 per annum;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4: To approve the grant of 22,214 restricted stock units to acquire shares of the Company’s common stock (“Common Stock”) and the grant of 16,133 options to acquire shares of Common Stock to Professor Suzanne Crowe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5: To approve the grant of 22,214 restricted stock units to acquire shares of Common Stock and the grant of 16,133 options to acquire shares of Common Stock to Jeremy Curnock Cook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6: To approve the grant of 22,214 restricted stock units to acquire shares of Common Stock and the grant of 16,133 options to acquire shares of Common Stock to Robert McNamara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7: To approve the grant of 22,214 restricted stock units to acquire shares of Common Stock and the grant of 16,133 options to acquire shares of Common Stock to Jan Stern Reed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Proposal 8: To approve the grant of 26,250 restricted stock units to acquire shares of Common Stock and the grant of 19,063 options to acquire shares of Common Stock to Dr. Michael Tarnoff on the terms and conditions set out in this Proxy Statement, pursuant to and for the purposes of ASX Listing Rule 10.11, in recognition of Dr. Tarnoff being appointed as a new non-executive Director of the Board effective August 6,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9: To approve the grant of 22,214 restricted stock units to acquire shares of Common Stock and the grant of 16,133 options to acquire shares of Common Stock to Dr. Michael Tarnoff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Proposal 10: To approve the grant of 40,547 restricted stock units to acquire shares of Common Stock and the grant of 29,446 options to acquire shares of Common Stock to Joseph Woody on the terms and conditions set out in this Proxy Statement, pursuant to and for the purposes of ASX Listing Rule 10.11, in recognition of Mr. Woody being appointed as a new non-executive Director of the Board effective January 1,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11: To approve the grant of 22,214 restricted stock units to acquire shares of Common Stock and the grant of 16,133 options to acquire shares of Common Stock to Joseph Woody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Proposal 12: To approve, on an advisory basis, the compensation of our named executive officers;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13: To approve, on an advisory basis, the frequency of future advisory votes on executive compensation;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14: To approve, for the purpose of ASX Listing Rule 7.1 and all other purposes, the issuance of a warrant or warrants covering up to 650,000 shares of Common Stock, with a term of ten years (the “Warrants”), to Perceptive Credit Holdings V, LP (“Perceptive”), pursuant to the Credit Agreement between the Company and Perceptive, dated January 13, 2026 (the “Credit Agreement”), on the terms and conditions set forth in this Proxy Statement; and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Proposal 15: (as a special resolution, in accordance with ASX Listing Rule 7.1A): To approve, for the purpose of ASX Listing Rule 7.1A and all other purposes, the issue of Equity Securities (as defined in ASX Listing Rule 19.2) up to 10% of the issued capital (at the time of issuance) of the Company, calculated in accordance with ASX Listing Rule 7.1A.2, and on the terms and conditions set forth in this Proxy Statement.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may also transact such other business as may properly come before the Annual Meeting or any adjournment or postponement thereof.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has fixed the close of business on April 9, 2026 as the record date (the “Record Date”) for the Annual Meeting. Holders of Common Stock, as of the Record Date, and holders of the Company's CHESS Depositary Interests (“CDIs”) as of the Australian Record Date (as defined below), are entitled to receive notice of, and to submit a vote, as applicable, for the Annual Meeting or any adjournment or adjournments thereof. </w:t>
      </w:r>
    </w:p>
    <w:p>
      <w:pPr>
        <w:pStyle w:val="TextBody"/>
        <w:bidi w:val="0"/>
        <w:jc w:val="left"/>
        <w:rPr/>
      </w:pPr>
      <w:r>
        <w:rPr/>
        <w:t> </w:t>
      </w:r>
    </w:p>
    <w:p>
      <w:pPr>
        <w:pStyle w:val="TextBody"/>
        <w:bidi w:val="0"/>
        <w:jc w:val="left"/>
        <w:rPr/>
      </w:pPr>
      <w:r>
        <w:rPr>
          <w:rFonts w:ascii="Times New Roman" w:hAnsi="Times New Roman"/>
          <w:b/>
          <w:color w:val="000000"/>
          <w:sz w:val="20"/>
        </w:rPr>
        <w:t xml:space="preserve">Your vote is important. </w:t>
      </w:r>
      <w:r>
        <w:rPr>
          <w:rFonts w:ascii="Times New Roman" w:hAnsi="Times New Roman"/>
          <w:color w:val="000000"/>
          <w:sz w:val="20"/>
        </w:rPr>
        <w:t xml:space="preserve">Whether or not you plan to attend the Annual Meeting, please submit your proxy or voting instructions as soon as possible to ensure your shares are represented. For voting instructions and other important information, please read the </w:t>
      </w:r>
      <w:hyperlink w:anchor="general_info">
        <w:r>
          <w:rPr>
            <w:rStyle w:val="InternetLink"/>
            <w:rFonts w:ascii="Times New Roman" w:hAnsi="Times New Roman"/>
            <w:color w:val="0000FF"/>
            <w:sz w:val="20"/>
            <w:u w:val="single"/>
          </w:rPr>
          <w:t>General Information and Voting Instructions</w:t>
        </w:r>
      </w:hyperlink>
      <w:r>
        <w:rPr>
          <w:rFonts w:ascii="Times New Roman" w:hAnsi="Times New Roman"/>
          <w:color w:val="000000"/>
          <w:sz w:val="20"/>
        </w:rPr>
        <w:t xml:space="preserve"> section in this Proxy Statement for further important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Please note that all references to currency above and throughout the Proxy Statement are in U.S. dollars, unless otherwise indicated. </w:t>
      </w:r>
    </w:p>
    <w:p>
      <w:pPr>
        <w:pStyle w:val="TextBody"/>
        <w:bidi w:val="0"/>
        <w:jc w:val="left"/>
        <w:rPr/>
      </w:pPr>
      <w:r>
        <w:rPr/>
        <w:t> </w:t>
      </w:r>
    </w:p>
    <w:tbl>
      <w:tblPr>
        <w:tblW w:w="5573" w:type="dxa"/>
        <w:jc w:val="left"/>
        <w:tblInd w:w="0" w:type="dxa"/>
        <w:tblLayout w:type="fixed"/>
        <w:tblCellMar>
          <w:top w:w="28" w:type="dxa"/>
          <w:left w:w="28" w:type="dxa"/>
          <w:bottom w:w="28" w:type="dxa"/>
          <w:right w:w="28" w:type="dxa"/>
        </w:tblCellMar>
      </w:tblPr>
      <w:tblGrid>
        <w:gridCol w:w="161"/>
        <w:gridCol w:w="326"/>
        <w:gridCol w:w="5086"/>
      </w:tblGrid>
      <w:tr>
        <w:trPr/>
        <w:tc>
          <w:tcPr>
            <w:tcW w:w="1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50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86"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Nicole Kelsey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50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Nicole Kelsey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and Compliance Officer and Corporate Secretary</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Valencia, CA </w:t>
      </w:r>
    </w:p>
    <w:p>
      <w:pPr>
        <w:pStyle w:val="TextBody"/>
        <w:bidi w:val="0"/>
        <w:jc w:val="left"/>
        <w:rPr>
          <w:rFonts w:ascii="Times New Roman" w:hAnsi="Times New Roman"/>
          <w:color w:val="000000"/>
          <w:sz w:val="20"/>
        </w:rPr>
      </w:pPr>
      <w:r>
        <w:rPr>
          <w:rFonts w:ascii="Times New Roman" w:hAnsi="Times New Roman"/>
          <w:color w:val="000000"/>
          <w:sz w:val="20"/>
        </w:rPr>
        <w:t>April 22,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double" w:sz="2" w:space="1" w:color="000000"/>
          <w:left w:val="double" w:sz="2" w:space="1" w:color="000000"/>
          <w:right w:val="double" w:sz="2" w:space="1" w:color="000000"/>
        </w:pBdr>
        <w:bidi w:val="0"/>
        <w:jc w:val="left"/>
        <w:rPr>
          <w:rFonts w:ascii="Times New Roman" w:hAnsi="Times New Roman"/>
          <w:sz w:val="20"/>
        </w:rPr>
      </w:pPr>
      <w:r>
        <w:rPr>
          <w:rFonts w:ascii="Times New Roman" w:hAnsi="Times New Roman"/>
          <w:b/>
          <w:color w:val="000000"/>
          <w:sz w:val="20"/>
        </w:rPr>
        <w:t>IMPORTANT NOTICE REGARDING THE AVAILABILITY OF PROXY MATERIALS FOR THE ANNUAL MEETING</w:t>
      </w:r>
      <w:r>
        <w:rPr>
          <w:rFonts w:ascii="Times New Roman" w:hAnsi="Times New Roman"/>
          <w:color w:val="000000"/>
          <w:sz w:val="20"/>
        </w:rPr>
        <w:t xml:space="preserve"> </w:t>
      </w:r>
    </w:p>
    <w:p>
      <w:pPr>
        <w:pStyle w:val="TextBody"/>
        <w:pBdr>
          <w:left w:val="double" w:sz="2" w:space="1" w:color="000000"/>
          <w:right w:val="double" w:sz="2" w:space="1" w:color="000000"/>
        </w:pBdr>
        <w:bidi w:val="0"/>
        <w:jc w:val="left"/>
        <w:rPr/>
      </w:pPr>
      <w:r>
        <w:rPr/>
        <w:t> </w:t>
      </w:r>
    </w:p>
    <w:p>
      <w:pPr>
        <w:pStyle w:val="TextBody"/>
        <w:pBdr>
          <w:left w:val="double" w:sz="2" w:space="1" w:color="000000"/>
          <w:right w:val="double" w:sz="2" w:space="1" w:color="000000"/>
        </w:pBdr>
        <w:bidi w:val="0"/>
        <w:jc w:val="left"/>
        <w:rPr>
          <w:rFonts w:ascii="Times New Roman" w:hAnsi="Times New Roman"/>
          <w:sz w:val="20"/>
        </w:rPr>
      </w:pPr>
      <w:r>
        <w:rPr>
          <w:rFonts w:ascii="Times New Roman" w:hAnsi="Times New Roman"/>
          <w:color w:val="000000"/>
          <w:sz w:val="20"/>
        </w:rPr>
        <w:t xml:space="preserve">The Notice of Annual Meeting of Stockholders, Proxy Statement, and Annual Report on Form 10-K for the year ended December 31, 2025, are available at </w:t>
      </w:r>
      <w:r>
        <w:rPr>
          <w:rFonts w:ascii="Times New Roman" w:hAnsi="Times New Roman"/>
          <w:sz w:val="20"/>
        </w:rPr>
        <w:t>www.edocumentview.com/RCEL</w:t>
      </w:r>
      <w:r>
        <w:rPr>
          <w:rFonts w:ascii="Times New Roman" w:hAnsi="Times New Roman"/>
          <w:i/>
          <w:color w:val="000000"/>
          <w:sz w:val="20"/>
        </w:rPr>
        <w:t>.</w:t>
      </w:r>
    </w:p>
    <w:p>
      <w:pPr>
        <w:pStyle w:val="TextBody"/>
        <w:pBdr>
          <w:left w:val="double" w:sz="2" w:space="1" w:color="000000"/>
          <w:bottom w:val="double" w:sz="2" w:space="1" w:color="000000"/>
          <w:right w:val="double" w:sz="2" w:space="1" w:color="000000"/>
        </w:pBdr>
        <w:bidi w:val="0"/>
        <w:jc w:val="left"/>
        <w:rPr/>
      </w:pPr>
      <w:r>
        <w:rPr>
          <w:rFonts w:ascii="Times New Roman" w:hAnsi="Times New Roman"/>
          <w:color w:val="000000"/>
          <w:sz w:val="20"/>
        </w:rPr>
        <w:t xml:space="preserve">Whether or not you plan to attend the Annual Meeting, please promptly submit your proxy or voting instructions to ensure that your shares are represented. For detailed instructions on how to vote your shares, please refer to the </w:t>
      </w:r>
      <w:hyperlink w:anchor="general_info">
        <w:r>
          <w:rPr>
            <w:rStyle w:val="InternetLink"/>
            <w:rFonts w:ascii="Times New Roman" w:hAnsi="Times New Roman"/>
            <w:color w:val="0000FF"/>
            <w:sz w:val="20"/>
            <w:u w:val="single"/>
          </w:rPr>
          <w:t>General Information and Voting Instructions</w:t>
        </w:r>
      </w:hyperlink>
      <w:r>
        <w:rPr>
          <w:rFonts w:ascii="Times New Roman" w:hAnsi="Times New Roman"/>
          <w:color w:val="000000"/>
          <w:sz w:val="20"/>
        </w:rPr>
        <w:t xml:space="preserve"> section of this Proxy Statement.</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oc_page_1"/>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966"/>
        <w:gridCol w:w="146"/>
        <w:gridCol w:w="146"/>
        <w:gridCol w:w="1036"/>
        <w:gridCol w:w="911"/>
      </w:tblGrid>
      <w:tr>
        <w:trPr/>
        <w:tc>
          <w:tcPr>
            <w:tcW w:w="7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182" w:type="dxa"/>
            <w:gridSpan w:val="2"/>
            <w:tcBorders/>
            <w:tcMar>
              <w:top w:w="0" w:type="dxa"/>
              <w:left w:w="0" w:type="dxa"/>
              <w:bottom w:w="0" w:type="dxa"/>
              <w:right w:w="0" w:type="dxa"/>
            </w:tcMar>
            <w:vAlign w:val="center"/>
          </w:tcPr>
          <w:p>
            <w:pPr>
              <w:pStyle w:val="TableContents"/>
              <w:bidi w:val="0"/>
              <w:spacing w:before="0" w:after="20"/>
              <w:jc w:val="center"/>
              <w:rPr/>
            </w:pPr>
            <w:r>
              <w:rPr/>
              <w:t> </w:t>
            </w:r>
          </w:p>
        </w:tc>
        <w:tc>
          <w:tcPr>
            <w:tcW w:w="911"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Page</w:t>
            </w:r>
          </w:p>
        </w:tc>
        <w:tc>
          <w:tcPr>
            <w:tcW w:w="911" w:type="dxa"/>
            <w:tcBorders>
              <w:bottom w:val="single" w:sz="8"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general_info">
              <w:r>
                <w:rPr>
                  <w:rStyle w:val="InternetLink"/>
                  <w:rFonts w:ascii="Times New Roman" w:hAnsi="Times New Roman"/>
                  <w:color w:val="0000FF"/>
                  <w:sz w:val="20"/>
                  <w:u w:val="single"/>
                </w:rPr>
                <w:t>GENERAL INFORMATION AND VOTING INSTRUCTIONS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proposal_no_1">
              <w:r>
                <w:rPr>
                  <w:rStyle w:val="InternetLink"/>
                  <w:rFonts w:ascii="Times New Roman" w:hAnsi="Times New Roman"/>
                  <w:color w:val="0000FF"/>
                  <w:sz w:val="20"/>
                  <w:u w:val="single"/>
                </w:rPr>
                <w:t>PROPOSAL 1: ELECTION OF DIRECTORS</w:t>
              </w:r>
            </w:hyperlink>
            <w:hyperlink w:anchor="proposal_no_1">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business_experience">
              <w:r>
                <w:rPr>
                  <w:rStyle w:val="InternetLink"/>
                  <w:rFonts w:ascii="Times New Roman" w:hAnsi="Times New Roman"/>
                  <w:color w:val="0000FF"/>
                  <w:sz w:val="20"/>
                  <w:u w:val="single"/>
                </w:rPr>
                <w:t>Professional Experience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director_independence">
              <w:r>
                <w:rPr>
                  <w:rStyle w:val="InternetLink"/>
                  <w:rFonts w:ascii="Times New Roman" w:hAnsi="Times New Roman"/>
                  <w:color w:val="0000FF"/>
                  <w:sz w:val="20"/>
                  <w:u w:val="single"/>
                </w:rPr>
                <w:t>Director Independence</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current_committee_table">
              <w:r>
                <w:rPr>
                  <w:rStyle w:val="InternetLink"/>
                  <w:rFonts w:ascii="Times New Roman" w:hAnsi="Times New Roman"/>
                  <w:color w:val="0000FF"/>
                  <w:sz w:val="20"/>
                  <w:u w:val="single"/>
                </w:rPr>
                <w:t>Committee Table</w:t>
              </w:r>
            </w:hyperlink>
            <w:hyperlink w:anchor="current_committee_tabl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audit_committee">
              <w:r>
                <w:rPr>
                  <w:rStyle w:val="InternetLink"/>
                  <w:rFonts w:ascii="Times New Roman" w:hAnsi="Times New Roman"/>
                  <w:color w:val="0000FF"/>
                  <w:sz w:val="20"/>
                  <w:u w:val="single"/>
                </w:rPr>
                <w:t>Audit Committee</w:t>
              </w:r>
            </w:hyperlink>
            <w:hyperlink w:anchor="audit_committe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compensation_committee">
              <w:r>
                <w:rPr>
                  <w:rStyle w:val="InternetLink"/>
                  <w:rFonts w:ascii="Times New Roman" w:hAnsi="Times New Roman"/>
                  <w:color w:val="0000FF"/>
                  <w:sz w:val="20"/>
                  <w:u w:val="single"/>
                </w:rPr>
                <w:t>Human Capital and Compensation Committee</w:t>
              </w:r>
            </w:hyperlink>
            <w:hyperlink w:anchor="compensation_committe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nominating_corporate_governance">
              <w:r>
                <w:rPr>
                  <w:rStyle w:val="InternetLink"/>
                  <w:rFonts w:ascii="Times New Roman" w:hAnsi="Times New Roman"/>
                  <w:color w:val="0000FF"/>
                  <w:sz w:val="20"/>
                  <w:u w:val="single"/>
                </w:rPr>
                <w:t>Nominating and Corporate Governance Committee</w:t>
              </w:r>
            </w:hyperlink>
            <w:hyperlink w:anchor="nominating_corporate_governanc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process_for_nominating">
              <w:r>
                <w:rPr>
                  <w:rStyle w:val="InternetLink"/>
                  <w:rFonts w:ascii="Times New Roman" w:hAnsi="Times New Roman"/>
                  <w:color w:val="0000FF"/>
                  <w:sz w:val="20"/>
                  <w:u w:val="single"/>
                </w:rPr>
                <w:t>Process for Nominating Potential Director Candidates</w:t>
              </w:r>
            </w:hyperlink>
            <w:hyperlink w:anchor="process_for_nominating">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board_meetings">
              <w:r>
                <w:rPr>
                  <w:rStyle w:val="InternetLink"/>
                  <w:rFonts w:ascii="Times New Roman" w:hAnsi="Times New Roman"/>
                  <w:color w:val="0000FF"/>
                  <w:sz w:val="20"/>
                  <w:u w:val="single"/>
                </w:rPr>
                <w:t>Board Meetings</w:t>
              </w:r>
            </w:hyperlink>
            <w:hyperlink w:anchor="board_meeting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director_attendance_at_annual_meeting">
              <w:r>
                <w:rPr>
                  <w:rStyle w:val="InternetLink"/>
                  <w:rFonts w:ascii="Times New Roman" w:hAnsi="Times New Roman"/>
                  <w:color w:val="0000FF"/>
                  <w:sz w:val="20"/>
                  <w:u w:val="single"/>
                </w:rPr>
                <w:t>Director Attendance at Annual Meeting of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code_of_business_conduct_ethics">
              <w:r>
                <w:rPr>
                  <w:rStyle w:val="InternetLink"/>
                  <w:rFonts w:ascii="Times New Roman" w:hAnsi="Times New Roman"/>
                  <w:color w:val="0000FF"/>
                  <w:sz w:val="20"/>
                  <w:u w:val="single"/>
                </w:rPr>
                <w:t>Code of Business Conduct and Ethics</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insider_trading_policy">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prohibition_on_short_selling">
              <w:r>
                <w:rPr>
                  <w:rStyle w:val="InternetLink"/>
                  <w:rFonts w:ascii="Times New Roman" w:hAnsi="Times New Roman"/>
                  <w:color w:val="0000FF"/>
                  <w:sz w:val="20"/>
                  <w:u w:val="single"/>
                </w:rPr>
                <w:t>Prohibition on Short Selling, Hedging Transactions and Short-Term Trading</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board_leadership_structure">
              <w:r>
                <w:rPr>
                  <w:rStyle w:val="InternetLink"/>
                  <w:rFonts w:ascii="Times New Roman" w:hAnsi="Times New Roman"/>
                  <w:color w:val="0000FF"/>
                  <w:sz w:val="20"/>
                  <w:u w:val="single"/>
                </w:rPr>
                <w:t>Board Leadership Structure</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risk_oversight">
              <w:r>
                <w:rPr>
                  <w:rStyle w:val="InternetLink"/>
                  <w:rFonts w:ascii="Times New Roman" w:hAnsi="Times New Roman"/>
                  <w:color w:val="0000FF"/>
                  <w:sz w:val="20"/>
                  <w:u w:val="single"/>
                </w:rPr>
                <w:t>Risk Oversight</w:t>
              </w:r>
            </w:hyperlink>
            <w:hyperlink w:anchor="risk_oversight">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cybersecurity_risk_management">
              <w:r>
                <w:rPr>
                  <w:rStyle w:val="InternetLink"/>
                  <w:rFonts w:ascii="Times New Roman" w:hAnsi="Times New Roman"/>
                  <w:color w:val="0000FF"/>
                  <w:sz w:val="20"/>
                  <w:u w:val="single"/>
                </w:rPr>
                <w:t>Cybersecurity Risk Management and Strategy</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disclosure_of_management_responsibility">
              <w:r>
                <w:rPr>
                  <w:rStyle w:val="InternetLink"/>
                  <w:rFonts w:ascii="Times New Roman" w:hAnsi="Times New Roman"/>
                  <w:color w:val="0000FF"/>
                  <w:sz w:val="20"/>
                  <w:u w:val="single"/>
                </w:rPr>
                <w:t>Disclosure of Management’s Responsibility</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13</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disclosure_of_boards_responsibility">
              <w:r>
                <w:rPr>
                  <w:rStyle w:val="InternetLink"/>
                  <w:rFonts w:ascii="Times New Roman" w:hAnsi="Times New Roman"/>
                  <w:color w:val="0000FF"/>
                  <w:sz w:val="20"/>
                  <w:u w:val="single"/>
                </w:rPr>
                <w:t>Disclosure of the Board’s Responsibility</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13</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stockholder_and_interested">
              <w:r>
                <w:rPr>
                  <w:rStyle w:val="InternetLink"/>
                  <w:rFonts w:ascii="Times New Roman" w:hAnsi="Times New Roman"/>
                  <w:color w:val="0000FF"/>
                  <w:sz w:val="20"/>
                  <w:u w:val="single"/>
                </w:rPr>
                <w:t>Stockholder and Interested Party Communications with Directors</w:t>
              </w:r>
            </w:hyperlink>
            <w:hyperlink w:anchor="stockholder_and_interested">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13</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director_compensation">
              <w:r>
                <w:rPr>
                  <w:rStyle w:val="InternetLink"/>
                  <w:rFonts w:ascii="Times New Roman" w:hAnsi="Times New Roman"/>
                  <w:color w:val="0000FF"/>
                  <w:sz w:val="20"/>
                  <w:u w:val="single"/>
                </w:rPr>
                <w:t>Director Compensation</w:t>
              </w:r>
            </w:hyperlink>
            <w:hyperlink w:anchor="director_compensation">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14</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proposal_no_2">
              <w:r>
                <w:rPr>
                  <w:rStyle w:val="InternetLink"/>
                  <w:rFonts w:ascii="Times New Roman" w:hAnsi="Times New Roman"/>
                  <w:color w:val="0000FF"/>
                  <w:sz w:val="20"/>
                  <w:u w:val="single"/>
                </w:rPr>
                <w:t>PROPOSAL 2: RATIFICATION OF INDEPENDENT REGISTERED PUBLIC ACCOUNTING FIRM</w:t>
              </w:r>
            </w:hyperlink>
            <w:hyperlink w:anchor="proposal_no_2">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fees">
              <w:r>
                <w:rPr>
                  <w:rStyle w:val="InternetLink"/>
                  <w:rFonts w:ascii="Times New Roman" w:hAnsi="Times New Roman"/>
                  <w:color w:val="0000FF"/>
                  <w:sz w:val="20"/>
                  <w:u w:val="single"/>
                </w:rPr>
                <w:t>Audit and Other Fees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pre_approval_practice">
              <w:r>
                <w:rPr>
                  <w:rStyle w:val="InternetLink"/>
                  <w:rFonts w:ascii="Times New Roman" w:hAnsi="Times New Roman"/>
                  <w:color w:val="0000FF"/>
                  <w:sz w:val="20"/>
                  <w:u w:val="single"/>
                </w:rPr>
                <w:t>Pre-Approval Practice</w:t>
              </w:r>
            </w:hyperlink>
            <w:hyperlink w:anchor="pre_approval_practic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report_of_the_audit_committee">
              <w:r>
                <w:rPr>
                  <w:rStyle w:val="InternetLink"/>
                  <w:rFonts w:ascii="Times New Roman" w:hAnsi="Times New Roman"/>
                  <w:color w:val="0000FF"/>
                  <w:sz w:val="20"/>
                  <w:u w:val="single"/>
                </w:rPr>
                <w:t>REPORT OF THE AUDIT COMMITTEE</w:t>
              </w:r>
            </w:hyperlink>
            <w:hyperlink w:anchor="report_of_the_audit_committe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16</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security_ownership_of_certain">
              <w:r>
                <w:rPr>
                  <w:rStyle w:val="InternetLink"/>
                  <w:rFonts w:ascii="Times New Roman" w:hAnsi="Times New Roman"/>
                  <w:color w:val="0000FF"/>
                  <w:sz w:val="20"/>
                  <w:u w:val="single"/>
                </w:rPr>
                <w:t>CERTAIN INFORMATION ABOUT OUR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executive_officers">
              <w:r>
                <w:rPr>
                  <w:rStyle w:val="InternetLink"/>
                  <w:rFonts w:ascii="Times New Roman" w:hAnsi="Times New Roman"/>
                  <w:color w:val="0000FF"/>
                  <w:sz w:val="20"/>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18</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compensation_principles">
              <w:r>
                <w:rPr>
                  <w:rStyle w:val="InternetLink"/>
                  <w:rFonts w:ascii="Times New Roman" w:hAnsi="Times New Roman"/>
                  <w:color w:val="0000FF"/>
                  <w:sz w:val="20"/>
                  <w:u w:val="single"/>
                </w:rPr>
                <w:t>Compensation Principles</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summary_compensation_table">
              <w:r>
                <w:rPr>
                  <w:rStyle w:val="InternetLink"/>
                  <w:rFonts w:ascii="Times New Roman" w:hAnsi="Times New Roman"/>
                  <w:color w:val="0000FF"/>
                  <w:sz w:val="20"/>
                  <w:u w:val="single"/>
                </w:rPr>
                <w:t>Summary Compensation Table</w:t>
              </w:r>
            </w:hyperlink>
            <w:hyperlink w:anchor="summary_compensation_tabl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20</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outstanding_equity_awards">
              <w:r>
                <w:rPr>
                  <w:rStyle w:val="InternetLink"/>
                  <w:rFonts w:ascii="Times New Roman" w:hAnsi="Times New Roman"/>
                  <w:color w:val="0000FF"/>
                  <w:sz w:val="20"/>
                  <w:u w:val="single"/>
                </w:rPr>
                <w:t>Outstanding Equity Awards at Fiscal Year End</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21</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employement_contracts">
              <w:r>
                <w:rPr>
                  <w:rStyle w:val="InternetLink"/>
                  <w:rFonts w:ascii="Times New Roman" w:hAnsi="Times New Roman"/>
                  <w:color w:val="0000FF"/>
                  <w:sz w:val="20"/>
                  <w:u w:val="single"/>
                </w:rPr>
                <w:t>Employment Contracts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23</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separation_and_release_james_corbett">
              <w:r>
                <w:rPr>
                  <w:rStyle w:val="InternetLink"/>
                  <w:rFonts w:ascii="Times New Roman" w:hAnsi="Times New Roman"/>
                  <w:color w:val="0000FF"/>
                  <w:sz w:val="20"/>
                  <w:u w:val="single"/>
                </w:rPr>
                <w:t>Separation and Release Agreement with James Corbett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23</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720"/>
              <w:jc w:val="left"/>
              <w:rPr/>
            </w:pPr>
            <w:hyperlink w:anchor="pay_vs_performance">
              <w:r>
                <w:rPr>
                  <w:rStyle w:val="InternetLink"/>
                  <w:rFonts w:ascii="Times New Roman" w:hAnsi="Times New Roman"/>
                  <w:color w:val="0000FF"/>
                  <w:sz w:val="20"/>
                  <w:u w:val="single"/>
                </w:rPr>
                <w:t>Pay Versus Performance</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24</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proposal_no_3_8">
              <w:r>
                <w:rPr>
                  <w:rStyle w:val="InternetLink"/>
                  <w:rFonts w:ascii="Times New Roman" w:hAnsi="Times New Roman"/>
                  <w:color w:val="0000FF"/>
                  <w:sz w:val="20"/>
                  <w:u w:val="single"/>
                </w:rPr>
                <w:t>PROPOSAL 3: APPROVAL OF AN INCREASE TO MAXIMUM AGGREGATE ANNUAL CASH FEE POOL FROM WHICH THE NON-EXECUTIVE DIRECTORS OF THE COMPANY MAY BE PAID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proposals_4_11">
              <w:r>
                <w:rPr>
                  <w:rStyle w:val="InternetLink"/>
                  <w:rFonts w:ascii="Times New Roman" w:hAnsi="Times New Roman"/>
                  <w:color w:val="0000FF"/>
                  <w:sz w:val="20"/>
                  <w:u w:val="single"/>
                </w:rPr>
                <w:t>PROPOSALS 4 – 11: APPROVAL OF THE GRANTS OF OPTIONS AND RSUs TO NON-EXECUTIVE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proposal_12">
              <w:r>
                <w:rPr>
                  <w:rStyle w:val="InternetLink"/>
                  <w:rFonts w:ascii="Times New Roman" w:hAnsi="Times New Roman"/>
                  <w:color w:val="0000FF"/>
                  <w:sz w:val="20"/>
                  <w:u w:val="single"/>
                </w:rPr>
                <w:t>PROPOSAL 12: ADVISORY VOTE ON OUR NAMED EXECUTIVE OFFICER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proposal_13">
              <w:r>
                <w:rPr>
                  <w:rStyle w:val="InternetLink"/>
                  <w:rFonts w:ascii="Times New Roman" w:hAnsi="Times New Roman"/>
                  <w:color w:val="0000FF"/>
                  <w:sz w:val="20"/>
                  <w:u w:val="single"/>
                </w:rPr>
                <w:t>PROPOSAL 13: ADVISORY VOTE ON THE FREQUENCY TO APPROVE EXECUTIVE COMPENSATION</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c>
          <w:tcPr>
            <w:tcW w:w="911" w:type="dxa"/>
            <w:tcBorders/>
            <w:tcMar>
              <w:top w:w="0" w:type="dxa"/>
              <w:left w:w="0" w:type="dxa"/>
              <w:bottom w:w="0" w:type="dxa"/>
              <w:right w:w="0" w:type="dxa"/>
            </w:tcMar>
            <w:vAlign w:val="center"/>
          </w:tcPr>
          <w:p>
            <w:pPr>
              <w:pStyle w:val="TableContents"/>
              <w:bidi w:val="0"/>
              <w:spacing w:before="0" w:after="20"/>
              <w:ind w:left="0" w:right="0" w:firstLine="245"/>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5"/>
              <w:jc w:val="left"/>
              <w:rPr/>
            </w:pPr>
            <w:hyperlink w:anchor="proposal_14">
              <w:r>
                <w:rPr>
                  <w:rStyle w:val="InternetLink"/>
                  <w:rFonts w:ascii="Times New Roman" w:hAnsi="Times New Roman"/>
                  <w:color w:val="0000FF"/>
                  <w:sz w:val="20"/>
                  <w:u w:val="single"/>
                </w:rPr>
                <w:t>PROPOSAL 14: APPROVAL OF THE AGREEMENT TO ISSUE A WARRANT OR WARRANTS</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40</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proposal_15">
              <w:r>
                <w:rPr>
                  <w:rStyle w:val="InternetLink"/>
                  <w:rFonts w:ascii="Times New Roman" w:hAnsi="Times New Roman"/>
                  <w:color w:val="0000FF"/>
                  <w:sz w:val="20"/>
                  <w:u w:val="single"/>
                </w:rPr>
                <w:t>PROPOSAL 15: APPROVAL OF A 10% INCREASE TO THE COMPANY’S PLACEMENT CAPACITY</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43</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other_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48</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annual_report">
              <w:r>
                <w:rPr>
                  <w:rStyle w:val="InternetLink"/>
                  <w:rFonts w:ascii="Times New Roman" w:hAnsi="Times New Roman"/>
                  <w:color w:val="0000FF"/>
                  <w:sz w:val="20"/>
                  <w:u w:val="single"/>
                </w:rPr>
                <w:t>ANNUAL REPORT</w:t>
              </w:r>
            </w:hyperlink>
            <w:hyperlink w:anchor="annual_report">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48</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requirements_for_stockholder">
              <w:r>
                <w:rPr>
                  <w:rStyle w:val="InternetLink"/>
                  <w:rFonts w:ascii="Times New Roman" w:hAnsi="Times New Roman"/>
                  <w:color w:val="0000FF"/>
                  <w:sz w:val="20"/>
                  <w:u w:val="single"/>
                </w:rPr>
                <w:t>REQUIREMENTS FOR STOCKHOLDER PROPOSALS TO BE BROUGHT BEFORE THE 2026 ANNUAL MEETING</w:t>
              </w:r>
            </w:hyperlink>
            <w:hyperlink w:anchor="requirements_for_stockholder">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48</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certain_relationships_and_related">
              <w:r>
                <w:rPr>
                  <w:rStyle w:val="InternetLink"/>
                  <w:rFonts w:ascii="Times New Roman" w:hAnsi="Times New Roman"/>
                  <w:color w:val="0000FF"/>
                  <w:sz w:val="20"/>
                  <w:u w:val="single"/>
                </w:rPr>
                <w:t>CERTAIN RELATIONSHIPS AND RELATED PERSON TRANSACTIONS</w:t>
              </w:r>
            </w:hyperlink>
            <w:hyperlink w:anchor="certain_relationships_and_related">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49</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delinquent_section_16_reports">
              <w:r>
                <w:rPr>
                  <w:rStyle w:val="InternetLink"/>
                  <w:rFonts w:ascii="Times New Roman" w:hAnsi="Times New Roman"/>
                  <w:color w:val="0000FF"/>
                  <w:sz w:val="20"/>
                  <w:u w:val="single"/>
                </w:rPr>
                <w:t>DELINQUENT SECTION 16(a) REPORTS</w:t>
              </w:r>
            </w:hyperlink>
            <w:hyperlink w:anchor="delinquent_section_16_report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49</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householding_materials">
              <w:r>
                <w:rPr>
                  <w:rStyle w:val="InternetLink"/>
                  <w:rFonts w:ascii="Times New Roman" w:hAnsi="Times New Roman"/>
                  <w:color w:val="0000FF"/>
                  <w:sz w:val="20"/>
                  <w:u w:val="single"/>
                </w:rPr>
                <w:t>HOUSEHOLDING OF ANNUAL MEETING MATERIALS</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49</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where_you_can_find_more">
              <w:r>
                <w:rPr>
                  <w:rStyle w:val="InternetLink"/>
                  <w:rFonts w:ascii="Times New Roman" w:hAnsi="Times New Roman"/>
                  <w:color w:val="0000FF"/>
                  <w:sz w:val="20"/>
                  <w:u w:val="single"/>
                </w:rPr>
                <w:t>WHERE YOU CAN FIND MORE INFORMATION</w:t>
              </w:r>
            </w:hyperlink>
            <w:hyperlink w:anchor="where_you_can_find_mor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49</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annexure_a">
              <w:r>
                <w:rPr>
                  <w:rStyle w:val="InternetLink"/>
                  <w:rFonts w:ascii="Times New Roman" w:hAnsi="Times New Roman"/>
                  <w:color w:val="0000FF"/>
                  <w:sz w:val="20"/>
                  <w:u w:val="single"/>
                </w:rPr>
                <w:t>ANNEXURE A</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50</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bl>
    <w:p>
      <w:pPr>
        <w:pStyle w:val="TextBody"/>
        <w:pBdr>
          <w:bottom w:val="single" w:sz="8" w:space="1" w:color="999999"/>
        </w:pBdr>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704850" cy="83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4850" cy="838200"/>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2026 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3,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Proxy Statement is being furnished in connection with the solicitation of proxies by the Board of Directors (the “Board” or the “Board of Directors”) of AVITA Medical, Inc. (“AVITA Medical,” “we”, “us”, or the “Company”) for use at the 2026 Annual Meeting of Stockholders (the “Annual Meeting”), to be held on June 3, 2026, at 3:00 p.m. Pacific Daylight Time (being June 4, 2026, at 8:00 a.m. Australian Eastern Standard Time (“AEST”)), solely by means of remote communication via live webcast at meetnow.global/MXCFDJM.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is listed on both the Nasdaq Stock Market LLC (“Nasdaq”) and the Australian Securities Exchange (“ASX”). This Proxy Statement is intended for all stockholders, including holders of the Company's common stock (“Common Stock”) and holders of CHESS Depositary Interests (“CDIs”) traded on the ASX.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Proxy Statement contains information about the matters to be considered at the Annual Meeting or any adjournment or postponement thereof. The Company will bear the cost of solicitation of proxies. In addition to solicitation by mail, the Company's directors, officers, and regular employees may solicit proxies in person, by telephone, or via other means of communication without additional compensation. Brokerage houses, banks and other custodians, nominees, and fiduciaries will be reimbursed for out-of-pocket and reasonable expenses incurred in forwarding proxies and proxy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has fixed the close of business on April 9, 2026 as the record date (the “Record Date”) to determine those holders of record of shares of Common Stock who are entitled to notice of, and to electronically vote at, the Annual Meeting and those holders of CDIs (representing the underlying shares of Common Stock) who are entitled to notice of, and to virtually attend (but not vote at), the Annual Meeting. Each share of Common Stock (including the underlying shares of Common Stock represented by CDIs, with five CDIs representing one share of Common Stock) entitles its owner to one vote. On the Record Date, there were 30,776,689 shares of Common Stock outstanding (including the shares of Common Stock underlying CDIs).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or about April 22, 2026, we will begin providing stockholders as of the Record Date with the Notice of Internet Availability of Proxy Materials. These materials will direct stockholders to a website where they can access our proxy materials, including this Proxy Statement and our 2025 Annual Report, and view instructions on how to vote online.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Your vote is important. </w:t>
      </w:r>
      <w:r>
        <w:rPr>
          <w:rFonts w:ascii="Times New Roman" w:hAnsi="Times New Roman"/>
          <w:color w:val="000000"/>
          <w:sz w:val="20"/>
        </w:rPr>
        <w:t>Whether or not you plan to attend the Annual Meeting, please submit your proxy or voting instructions as soon as possible to ensure your shares are represented.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Proxy Statement and our other public filings contain “forward-looking statements” within the meaning of the U.S. Private Securities Litigation Reform Act of 1995. These forward-looking statements may include, but are not limited to, statements regarding our business strategies, plans, objectives, goals, anticipated financial performance, product development, regulatory approvals, executive compensation programs, and other statements that are not historical facts. Forward-looking statements generally can be identified by the use of words such as “anticipate,” “expect,” “goal,” “intend,” “may,” “plan,” “potential,” “should,” “target,” “will,” “would,” and similar expressions and variations referencing future periods. These statements are based on current expectations, assumptions, estimates, and projections about our business and the industry in which we operate, and are subject to known and unknown risks, uncertainties, and other factors that may cause actual results, performance, or achievements to differ materially from those expressed or implied by such statements. Forward-looking statements are made only as of the date of this Proxy Statement, and we undertake no obligation to publicly update or revise any forward-looking statements, whether as a result of new information, future developments, or otherwise,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general_info"/>
      <w:bookmarkEnd w:id="3"/>
      <w:r>
        <w:rPr>
          <w:rFonts w:ascii="Times New Roman" w:hAnsi="Times New Roman"/>
          <w:b/>
          <w:color w:val="000000"/>
          <w:sz w:val="20"/>
        </w:rPr>
        <w:t>GENERAL INFORMATION AND VOTING INSTRUCTIONS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will I receive these proxy materials?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furnishing proxy materials to our stockholders of record and beneficial owners via the internet instead of mailing printed copies, unless otherwise requested by the stockholder. This method allows us to expedite communication to our stockholders, reduces the environmental footprint of our Annual Meeting, and reduces the costs associated with printing and mailing these materials to all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on or about April 22, 2026, we will begin mailing Notices of Internet Availability of Proxy Materials to our stockholders of record at the close of business on the Record Date. These notices include instructions on how to access the proxy materials online and how to request a printed copy free of charge.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Brokers, banks and other nominees will be sending similar notifications to all beneficial owners who hold their shares through those institutions.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is being considered at the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will be voting on the following: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1</w:t>
      </w:r>
      <w:r>
        <w:rPr>
          <w:rFonts w:ascii="Times New Roman" w:hAnsi="Times New Roman"/>
          <w:color w:val="000000"/>
          <w:sz w:val="20"/>
        </w:rPr>
        <w:t xml:space="preserve">: To elect seven directors to serve for one-year terms on the Company’s board of directors (the “Board”) or until their respective successors have been duly elected and qualified;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2</w:t>
      </w:r>
      <w:r>
        <w:rPr>
          <w:rFonts w:ascii="Times New Roman" w:hAnsi="Times New Roman"/>
          <w:color w:val="000000"/>
          <w:sz w:val="20"/>
        </w:rPr>
        <w:t xml:space="preserve">: To ratify the appointment of Grant Thornton LLP as the Company’s independent registered public accounting firm for the fiscal year ending December 31, 2026;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3</w:t>
      </w:r>
      <w:r>
        <w:rPr>
          <w:rFonts w:ascii="Times New Roman" w:hAnsi="Times New Roman"/>
          <w:color w:val="000000"/>
          <w:sz w:val="20"/>
        </w:rPr>
        <w:t xml:space="preserve">: To approve, for the purposes of ASX Listing Rule 10.17 and the Company’s Amended and Restated Bylaws (the “Company’s Bylaws”) and for all other purposes, that the maximum aggregate annual cash fee pool from which the non-executive Directors of the Company may be paid for their services on the Board be increased from US$750,000 per annum to US$900,000 per annum;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4</w:t>
      </w:r>
      <w:r>
        <w:rPr>
          <w:rFonts w:ascii="Times New Roman" w:hAnsi="Times New Roman"/>
          <w:color w:val="000000"/>
          <w:sz w:val="20"/>
        </w:rPr>
        <w:t xml:space="preserve">: To approve the grant of 22,214 restricted stock units to acquire shares of the Company’s common stock (“Common Stock”) and the grant of 16,133 options to acquire shares of Common Stock to Professor Suzanne Crowe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5</w:t>
      </w:r>
      <w:r>
        <w:rPr>
          <w:rFonts w:ascii="Times New Roman" w:hAnsi="Times New Roman"/>
          <w:color w:val="000000"/>
          <w:sz w:val="20"/>
        </w:rPr>
        <w:t xml:space="preserve">: To approve the grant of 22,214 restricted stock units to acquire shares of Common Stock and the grant of 16,133 options to acquire shares of Common Stock to Jeremy Curnock Cook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6</w:t>
      </w:r>
      <w:r>
        <w:rPr>
          <w:rFonts w:ascii="Times New Roman" w:hAnsi="Times New Roman"/>
          <w:color w:val="000000"/>
          <w:sz w:val="20"/>
        </w:rPr>
        <w:t xml:space="preserve">: To approve the grant of 22,214 restricted stock units to acquire shares of Common Stock and the grant of 16,133 options to acquire shares of Common Stock to Robert McNamara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7</w:t>
      </w:r>
      <w:r>
        <w:rPr>
          <w:rFonts w:ascii="Times New Roman" w:hAnsi="Times New Roman"/>
          <w:color w:val="000000"/>
          <w:sz w:val="20"/>
        </w:rPr>
        <w:t xml:space="preserve">: To approve the grant of 22,214 restricted stock units to acquire shares of Common Stock and the grant of 16,133 options to acquire shares of Common Stock to Jan Stern Reed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8</w:t>
      </w:r>
      <w:r>
        <w:rPr>
          <w:rFonts w:ascii="Times New Roman" w:hAnsi="Times New Roman"/>
          <w:color w:val="000000"/>
          <w:sz w:val="20"/>
        </w:rPr>
        <w:t xml:space="preserve">: To approve the grant of 26,250 restricted stock units to acquire shares of Common Stock and the grant of 19,063 options to acquire shares of Common Stock to Dr. Michael Tarnoff on the terms and conditions set out in this Proxy Statement, pursuant to and for the purposes of ASX Listing Rule 10.11, in recognition of Dr. Tarnoff being appointed as a new non-executive Director of the Board effective August 6, 2025;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9</w:t>
      </w:r>
      <w:r>
        <w:rPr>
          <w:rFonts w:ascii="Times New Roman" w:hAnsi="Times New Roman"/>
          <w:color w:val="000000"/>
          <w:sz w:val="20"/>
        </w:rPr>
        <w:t>: To approve the grant of 22,214 restricted stock units to acquire shares of Common Stock and the grant of 16,133 options to acquire shares of Common Stock to Dr. Michael Tarnoff on the terms and conditions set out in this Proxy Statement, pursuant to and for the purposes of ASX Listing Rule 10.11;</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10</w:t>
      </w:r>
      <w:r>
        <w:rPr>
          <w:rFonts w:ascii="Times New Roman" w:hAnsi="Times New Roman"/>
          <w:color w:val="000000"/>
          <w:sz w:val="20"/>
        </w:rPr>
        <w:t>: To approve the grant of 40,547 restricted stock units to acquire shares of Common Stock and the grant of 29,446 options to acquire shares of Common Stock to Joseph Woody on the terms and conditions set out in this Proxy Statement, pursuant to and for the purposes of ASX Listing Rule 10.11, in recognition of Mr. Woody being appointed as a new non-executive Director of the Board effective January 1,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11</w:t>
      </w:r>
      <w:r>
        <w:rPr>
          <w:rFonts w:ascii="Times New Roman" w:hAnsi="Times New Roman"/>
          <w:color w:val="000000"/>
          <w:sz w:val="20"/>
        </w:rPr>
        <w:t>: To approve the grant of 22,214 restricted stock units to acquire shares of Common Stock and the grant of 16,133 options to acquire shares of Common Stock to Joseph Woody on the terms and conditions set out in this Proxy Statement, pursuant to and for the purposes of ASX Listing Rule 10.11;</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12</w:t>
      </w:r>
      <w:r>
        <w:rPr>
          <w:rFonts w:ascii="Times New Roman" w:hAnsi="Times New Roman"/>
          <w:color w:val="000000"/>
          <w:sz w:val="20"/>
        </w:rPr>
        <w:t>: To approve, on an advisory basis, the compensation of our named executive officers;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13</w:t>
      </w:r>
      <w:r>
        <w:rPr>
          <w:rFonts w:ascii="Times New Roman" w:hAnsi="Times New Roman"/>
          <w:color w:val="000000"/>
          <w:sz w:val="20"/>
        </w:rPr>
        <w:t>: To approve, on an advisory basis, the frequency of future advisory votes on executive compensation;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14</w:t>
      </w:r>
      <w:r>
        <w:rPr>
          <w:rFonts w:ascii="Times New Roman" w:hAnsi="Times New Roman"/>
          <w:color w:val="000000"/>
          <w:sz w:val="20"/>
        </w:rPr>
        <w:t xml:space="preserve">: To approve, for the purpose of ASX Listing Rule 7.1 and all other purposes, the issuance of a warrant or warrants covering up to 650,000 shares of Common Stock, with a term of ten years (the “Warrants”), to Perceptive Credit Holdings V, LP (“Perceptive”), pursuant to the Credit Agreement between the Company and Perceptive, dated January 13, 2026 (the “Credit Agreement”), on the terms and conditions set forth in this Proxy Statement; and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15</w:t>
      </w:r>
      <w:r>
        <w:rPr>
          <w:rFonts w:ascii="Times New Roman" w:hAnsi="Times New Roman"/>
          <w:color w:val="000000"/>
          <w:sz w:val="20"/>
        </w:rPr>
        <w:t>:</w:t>
      </w:r>
      <w:r>
        <w:rPr>
          <w:color w:val="000000"/>
        </w:rPr>
        <w:t xml:space="preserve"> </w:t>
      </w:r>
      <w:r>
        <w:rPr>
          <w:rFonts w:ascii="Times New Roman" w:hAnsi="Times New Roman"/>
          <w:color w:val="000000"/>
          <w:sz w:val="20"/>
        </w:rPr>
        <w:t>(as a special resolution, in accordance with ASX Listing Rule 7.1A): To approve, for the purpose of ASX Listing Rule 7.1A and all other purposes, the issue of Equity Securities (as defined in ASX Listing Rule 19.2) up to 10% of the issued capital (at the time of issuance) of the Company, calculated in accordance with ASX Listing Rule 7.1A.2, and on the terms and conditions set forth in this Proxy Statement.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Who is entitled to vote?</w:t>
      </w:r>
    </w:p>
    <w:p>
      <w:pPr>
        <w:pStyle w:val="TextBody"/>
        <w:bidi w:val="0"/>
        <w:jc w:val="left"/>
        <w:rPr>
          <w:rFonts w:ascii="Times New Roman" w:hAnsi="Times New Roman"/>
          <w:color w:val="000000"/>
          <w:sz w:val="20"/>
        </w:rPr>
      </w:pPr>
      <w:r>
        <w:rPr>
          <w:rFonts w:ascii="Times New Roman" w:hAnsi="Times New Roman"/>
          <w:color w:val="000000"/>
          <w:sz w:val="20"/>
        </w:rPr>
        <w:t xml:space="preserve">You may vote if you owned Common Stock as of the Record Date and/or CDIs as of the Australian Record Date (as defined below). Each share of Common Stock is entitled to one vote. Each CDI holder is entitled to direct CHESS Depositary Nominees Pty Ltd (“CDN”) to vote one vote for every five CDIs held on the Australian Record Date.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 a stockholder of record?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on the Record Date, your shares of Common Stock were registered directly in your name with the Company’s transfer agent, Computershare, then you are a stockholder of record. As a stockholder of record, you are entitled to vote on all matters to be voted on at the Annual Meeting. Whether or not you plan to attend the Annual Meeting online, the Company urges you to vote to ensure your vote is counted.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beneficially own shares in “street name”?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If, on the Record Date, your shares of Common Stock were held in an account at a broker, bank, or other financial institution (collectively referred to as a “broker”), then you are considered the beneficial owner of shares held in </w:t>
      </w:r>
      <w:r>
        <w:rPr>
          <w:rFonts w:ascii="Times New Roman" w:hAnsi="Times New Roman"/>
          <w:i/>
          <w:color w:val="000000"/>
          <w:sz w:val="20"/>
        </w:rPr>
        <w:t>street name</w:t>
      </w:r>
      <w:r>
        <w:rPr>
          <w:rFonts w:ascii="Times New Roman" w:hAnsi="Times New Roman"/>
          <w:color w:val="000000"/>
          <w:sz w:val="20"/>
        </w:rPr>
        <w:t xml:space="preserve">. These proxy materials are being forwarded to you by your broker. The broker holding your account is considered the stockholder of record for purposes of voting at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beneficial owner, you have the right to direct your broker on how to vote the shares in your account. The information you receive from the broker will include instructions on how to vote your shares. In addition, you may request paper copies of the Proxy Statement and voting instructions by following the instructions on the notice provided by your broker.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Your broker is not permitted to vote on your behalf on any matter to be considered at the Annual Meeting (other than ratifying the Company’s appointment of Grant Thornton LLP as the Company’s independent registered public accounting firm) unless your broker votes specifically in accordance with the instructions provided by you to your broker. The Company encourages you to communicate your voting decisions to your broker before the deadlines described elsewhere in this Proxy Statement to ensure that your vote will be counted. </w:t>
      </w:r>
      <w:r>
        <w:rPr>
          <w:rFonts w:ascii="Times New Roman" w:hAnsi="Times New Roman"/>
          <w:b/>
          <w:color w:val="000000"/>
          <w:sz w:val="20"/>
        </w:rPr>
        <w:t>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referred to as a “broker non-vote.”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Which ballot measures are considered “routine” or “non-routine”?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election of directors (Proposal 1), the increase in the director cash fee pool (Proposal 3), the grants of restricted stock units and option awards to our directors (Proposals 4 – 11), the approval, on a non-binding advisory basis, of the compensation paid to our named executive officers (Proposal 12), the approval, on a non-binding advisory basis, of the frequency of future advisory votes on executive compensation (Proposal 13), the approval of the issuance of the Warrants (Proposal 14), and the approval of the 10% increase to the Company’s listing capacity (Proposal 15) are considered to be non-routine matters under applicable rules. A broker or other nominee cannot vote without instructions on non-routine matters, and therefore there may be broker non-votes on Proposal 1, and Proposals 3 – 15.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ratification of the appointment of Grant Thornton as our independent registered public accounting firm for 2026 (Proposal 2) is considered to be a routine matter under applicable rules. A broker or other nominee may generally vote on routine matters without instruction, so we do not expect there will be any broker non-votes with respect to Proposal 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vote is required to approve each item?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Directors are elected by a plurality of votes cast. The affirmative vote of the holders of a majority of the voting power of the Common Stock which are present in person or by proxy and entitled to vote thereon is required for (i) the ratification of the appointment of the Company’s independent public accountants; (ii) the approval of the increase in the director cash fee pool; (iii) the approval of the grant of restricted stock units and options to each non-executive Director; (iv) the approval, on a non-binding advisory basis, of the frequency of future advisory votes on executive compensation, (v) the approval of the issuance of the Warrants; and (vi) the approval of the compensation paid to the Company’s named executive officers on a non-binding, advisory basis. The affirmative vote of the holders of 75% of the voting power of the Common Stock which are present in person or by proxy and entitled to vote thereon is required for approval of the increase to the Company’s placement capacity (as a “special resolution,” under applicable ASX Listing Rules). There are no appraisal rights with respect to the matters to be acted upon at the Annual Meeting.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How are abstentions treated?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be counted as votes present and entitled to vote on the proposals considered at the Annual Meeting and, therefore, will have the effect of votes “AGAINST” Proposal 2 and Proposals 4 – 15. Abstentions will have no effect on Proposal 1 regarding the election of directors. With respect to Proposal 1,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many shares must be present or represented to hold the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Your shares are counted as present at the meeting if you attend the meeting virtually and vote via the online platform at meetnow.global/MXCFDJM or if you properly return a Proxy (in the case of holders of Common Stock) or CDI Voting Instruction Form (in the case of holders of CDIs). To conduct the meeting, a majority in voting power of the outstanding shares of stock entitled to vote must be present at the meeting in person or by proxy. This is referred to as quorum. On the Record Date, there were 30,776,689 outstanding shares of Common Stock (including Common Stock underlying CDIs) entitled to vote.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do I vote if I hold shares of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Registered holders of Common Stock can vote in three ways: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by means of the internet by visiting www.investorvote.com/RCEL and following the instructions on the Notice of Internet Availability of Proxy Materials or Proxy Card;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by attending the meeting virtually via live webcast and voting using the online voting platform at meetnow.global/MXCFDJM using your unique 16-digit control number, which can be found on your Notice of Internet Availability of Proxy Materials or Proxy Card, to log in to the website; or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by completing, signing, and returning the enclosed Proxy Card in accordance with the instructions on such card.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you hold shares of Common Stock in street name, you will need to follow the instructions provided by the broker, bank, or other nominee that holds your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 a holder of CDIs?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CDIs are issued by the Company through CDN and traded on the ASX. If you own CDIs, then you are the beneficial owner of one share of Common Stock for every five CDIs held. CDN (or its custodian) is the stockholder of record for purposes of voting at the Company’s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beneficial owner, you have the right to direct CDN how to vote the shares represented by your CDIs by completing the CDI Voting Instruction Form. As a beneficial owner, you are invited to attend the Annual Meeting; however, because you are not a stockholder of record, you cannot vote directly at the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rules governing CDIs, CDN is not permitted to vote on your behalf on any matter to be considered at the Annual Meeting unless you specifically instruct CDN to do so. The Company encourages you to communicate your voting to CDN in advance of the Annual Meeting by completing the enclosed CDI Voting Instruction Form and returning it to the address specified on the form to ensure your vote is counted.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do I vote if I hold CDIs?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CDI holder as of 9:00 a.m. AEST on June 2, 2026 (being 3:00 p.m. Pacific Daylight Time on June 1, 2026) (the “Australian Record Date”) is entitled to direct CDN to vote one vote for every five CDIs held by such holder. Those persons holding CDIs as of the Record Date are entitled to receive notice of, and to attend the Annual Meeting virtually, and any adjournment or postponement thereof. Holders of CDIs as of the Record Date may direct CDN to vote their underlying shares of Common Stock at the Annual Meeting in two ways: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returning the CDI Voting Instruction Form to Computershare Australia, the agent the Company has designated for the collection and processing of voting instructions from the Company’s CDI holders; 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by completing the CDI Voting Instruction Form online at </w:t>
      </w:r>
      <w:r>
        <w:rPr>
          <w:rFonts w:ascii="Times New Roman" w:hAnsi="Times New Roman"/>
          <w:sz w:val="20"/>
        </w:rPr>
        <w:t>https://www.investorvote.com.au</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Votes must be received by Computershare Australia by no later than 9:00 a.m. AEST on June 2, 2026 (being 3:00 p.m. Pacific Daylight Time on June 1, 2026) in accordance with the instructions on such form, in order for CDN to vote on CDI holders’ behalf in accordance with their written directions.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order to receive electronic communications from the Company in the future, please update your stockholder details online at </w:t>
      </w:r>
      <w:r>
        <w:rPr>
          <w:rFonts w:ascii="Times New Roman" w:hAnsi="Times New Roman"/>
          <w:sz w:val="20"/>
        </w:rPr>
        <w:t>www.investorvote.com.au</w:t>
      </w:r>
      <w:r>
        <w:rPr>
          <w:rFonts w:ascii="Times New Roman" w:hAnsi="Times New Roman"/>
          <w:color w:val="000000"/>
          <w:sz w:val="20"/>
        </w:rPr>
        <w:t xml:space="preserve"> by logging in with the control number, your stockholder identification number, and postcode (or country for overseas residents). Once logged in, you can also lodge your CDI Voting Instruction Form electronically.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Can I change my mind after I submit my Proxy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Yes, if you hold shares of Common Stock, you may change your mind at any time before a vote is taken at the meeting. You may change or revoke your vote as follows: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 xml:space="preserve">Stockholders of record. </w:t>
      </w:r>
      <w:r>
        <w:rPr>
          <w:rFonts w:ascii="Times New Roman" w:hAnsi="Times New Roman"/>
          <w:color w:val="000000"/>
          <w:sz w:val="20"/>
        </w:rPr>
        <w:t>You may change or revoke your vote by submitting a written notice of revocation to AVITA Medical, Inc. c/o the Corporate Secretary at 28159 Avenue Stanford, Suite 220, Valencia, CA 91355 or by submitting another vote on or before June 2, 2026. You may also change your vote by voting again via internet or telephone at a later time before the closing of those voting facilities at 11:59 p.m. Pacific Daylight Time, on June 2, 2026, or by attending the Annual Meeting and voting again.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Beneficial owners of shares held in “street name.”</w:t>
      </w:r>
      <w:r>
        <w:rPr>
          <w:color w:val="000000"/>
        </w:rPr>
        <w:t xml:space="preserve"> </w:t>
      </w:r>
      <w:r>
        <w:rPr>
          <w:rFonts w:ascii="Times New Roman" w:hAnsi="Times New Roman"/>
          <w:color w:val="000000"/>
          <w:sz w:val="20"/>
        </w:rPr>
        <w:t>You may change or revoke your voting instructions by following the specific directions provided to you by your bank or broker.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 xml:space="preserve">CDI Holders. </w:t>
      </w:r>
      <w:r>
        <w:rPr>
          <w:rFonts w:ascii="Times New Roman" w:hAnsi="Times New Roman"/>
          <w:color w:val="000000"/>
          <w:sz w:val="20"/>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9:00 a.m. AEST on June 2, 2026 (being 3:00 p.m. Pacific Daylight Time on June 1,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Will my Common Stock or CDIs be voted if I do not provide my Proxy or CDI Voting Instruction Form?</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At the Annual Meeting, the proposal to ratify the appointment of the Company’s independent public accountants is such a routine matter. When a brokerage firm votes its customer’s unvoted shares, these shares are counted for the purposes of establishing quorum.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hold CDIs, they will not be voted if you do not provide a completed CDI Voting Instruction Form to Computershare Australia by the relevant cut-off date, being 9:00 a.m. AEST on June 2, 2026 (being 3:00 p.m. Pacific Daylight Time on June 1, 2026).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if I return my Proxy Card or CDI Voting Instruction Form but do not include voting instructions?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Proxies that are signed and returned but do not include voting instructions will be voted “FOR” the election of the nominated directors, “FOR” the ratification of the appointment of the Company’s independent public accountants, “FOR” the approval of the grant of restricted stock units and options to each non-executive Director, “ONE YEAR” for the frequency of future say-on-pay votes, “FOR” the ratification of the issue of the Warrants, “FOR” the approval of a 10% increase to the Company’s placement capacity, and “FOR” the advisory vote regarding compensation paid to the Company’s named executive officers. If no specific instructions are given, it is intended that signed and returned proxies will be voted in the discretion of the proxy holders on any other business proposal which may properly come before the Annual Meeting (the Board does not presently know of any other such business) or any adjournments or postponements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are a beneficial owner of shares of Common Stock held in street name and do not provide the organization that holds your shares with specific voting instructions, the organization that holds your shares may generally vote on routine matters (which at the Annual Meeting consists of the proposal regarding ratification of the appointment of the Company’s independent public accountants) but cannot vote on non-routine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CDI holder does not include voting instructions in the CDI Voting Instruction Form in respect of a proposal, no vote will be cast on that proposal for that CDI holder.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if I receive more than one Proxy Card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possible, the Company recommends that you contact your broker and/or the Company’s transfer agent to consolidate as many accounts as possible under the same name and address. The Company’s transfer agent in the United States is Computershare Limited. Computershare Limited’s telephone number is 800-736-3001. The Company’s transfer agent in Australia is Computershare Investor Services Pty Limited (“Computershare Australia”). Computershare Australia’s telephone number is +61 39415 4000 (for overseas callers) or 1300 850 505 (for calls within Australia).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Where can I find the voting results of the Annual Meeting?</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 (the “SEC”) within four business days following the Annual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Who pays for solicitation of proxies?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is paying the cost of soliciting proxies and may request a proxy solicitor, brokerage firms and other custodians, nominees, and fiduciaries to secure the voting instructions of holders of Common Stock and CDIs, in which case the Company will reimburse such persons for their reasonable out-of-pocket expenses for sending proxy materials to holders and obtaining their votes. In addition to soliciting the proxies by mail, certain of the Company’s directors, officers and regular employees, without compensation, may solicit proxies in person, by telephone, or other means of communication. In connection with the foregoing, the Company has retained Okapi Partners, LLC to solicit proxies on its behalf for the Annual Meeting. The Company has agreed to pay to Okapi Partners, LLC a fee of approximately $25,000. In Australia, the Company has engaged Georgeson Shareholder Communications Australia Pty Ltd. to solicit proxies from holders of CDIs. The Company has agreed to pay Georgeson Shareholder Communications Australia Pty Ltd. a fee of approximately $45,000.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roposal_no_1"/>
      <w:bookmarkEnd w:id="4"/>
      <w:r>
        <w:rPr>
          <w:rFonts w:ascii="Times New Roman" w:hAnsi="Times New Roman"/>
          <w:b/>
          <w:color w:val="000000"/>
          <w:sz w:val="20"/>
        </w:rPr>
        <w:t>Proposal 1</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ELECTION OF DIRECTORS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has one class of directors (each, a “Director”), with each Director elected annually in accordance with the Company’s Bylaws for a term of one year or until his or her successor is duly elected and qualified, subject to such Director’s earlier death, resignation, disqualification or removal. Unless specified to be voted otherwise, the persons named in the following Proposal of this Proxy, each of whom are presently members of the Board, will vote to approve the reelection of these persons as directors to hold office for the terms set forth below or until their respective successors have been elected and qualified. Each of the nominees has consented to serve as a director if elected.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recommends that you vote FOR the nominees identified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6"/>
        <w:gridCol w:w="320"/>
        <w:gridCol w:w="436"/>
        <w:gridCol w:w="146"/>
        <w:gridCol w:w="4017"/>
        <w:gridCol w:w="146"/>
        <w:gridCol w:w="1237"/>
        <w:gridCol w:w="1837"/>
      </w:tblGrid>
      <w:tr>
        <w:trPr/>
        <w:tc>
          <w:tcPr>
            <w:tcW w:w="20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2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 with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 Since</w:t>
            </w:r>
          </w:p>
        </w:tc>
        <w:tc>
          <w:tcPr>
            <w:tcW w:w="18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Board Term Expires</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Cary Vance</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Chairman &amp; Interim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2023</w:t>
            </w:r>
          </w:p>
        </w:tc>
        <w:tc>
          <w:tcPr>
            <w:tcW w:w="18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2026</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Professor Suzanne Crowe</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2016</w:t>
            </w:r>
          </w:p>
        </w:tc>
        <w:tc>
          <w:tcPr>
            <w:tcW w:w="18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2026</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Jeremy Curnock Cook</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2012</w:t>
            </w:r>
          </w:p>
        </w:tc>
        <w:tc>
          <w:tcPr>
            <w:tcW w:w="18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2026</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Robert McNamara</w:t>
            </w:r>
          </w:p>
        </w:tc>
        <w:tc>
          <w:tcPr>
            <w:tcW w:w="3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2023</w:t>
            </w:r>
          </w:p>
        </w:tc>
        <w:tc>
          <w:tcPr>
            <w:tcW w:w="1837"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2026</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Jan Stern Reed</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2021</w:t>
            </w:r>
          </w:p>
        </w:tc>
        <w:tc>
          <w:tcPr>
            <w:tcW w:w="18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2026</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Dr. Michael Tarnoff</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2025</w:t>
            </w:r>
          </w:p>
        </w:tc>
        <w:tc>
          <w:tcPr>
            <w:tcW w:w="18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2026</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Joseph Woody</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2026</w:t>
            </w:r>
          </w:p>
        </w:tc>
        <w:tc>
          <w:tcPr>
            <w:tcW w:w="18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2026</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Vance was appointed Chairman on August 6, 2025. When the Board appointed Mr. Vance as Interim Chief Executive Officer on October 16, 2025, Mr. Vance continued to serve the Board as Executive Chairman but stepped down from each of the Board Committees.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of Professor Crowe and Mr. Curnock Cook served on the Board prior to June 30, 2020, as a member of the board of AVITA Medical Pty Limited, the Company’s predecessor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Ms. Reed was appointed Lead Independent Director on October 16, 2025. </w:t>
      </w:r>
    </w:p>
    <w:p>
      <w:pPr>
        <w:pStyle w:val="TextBody"/>
        <w:bidi w:val="0"/>
        <w:jc w:val="left"/>
        <w:rPr/>
      </w:pPr>
      <w:r>
        <w:rPr/>
        <w:t> </w:t>
      </w:r>
    </w:p>
    <w:p>
      <w:pPr>
        <w:pStyle w:val="TextBody"/>
        <w:bidi w:val="0"/>
        <w:jc w:val="left"/>
        <w:rPr>
          <w:rFonts w:ascii="Times New Roman" w:hAnsi="Times New Roman"/>
          <w:sz w:val="20"/>
        </w:rPr>
      </w:pPr>
      <w:bookmarkStart w:id="5" w:name="business_experience"/>
      <w:bookmarkEnd w:id="5"/>
      <w:r>
        <w:rPr>
          <w:rFonts w:ascii="Times New Roman" w:hAnsi="Times New Roman"/>
          <w:b/>
          <w:color w:val="000000"/>
          <w:sz w:val="20"/>
        </w:rPr>
        <w:t>Professional Experience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Cary Vance </w:t>
      </w:r>
      <w:r>
        <w:rPr>
          <w:rFonts w:ascii="Times New Roman" w:hAnsi="Times New Roman"/>
          <w:color w:val="000000"/>
          <w:sz w:val="20"/>
        </w:rPr>
        <w:t>was appointed Interim CEO of the Company on October 16, 2025, and has served as Chairman of the Board since August 6, 2025, and Director since April 2023. Mr. Vance has 30 years of extensive leadership experience in the healthcare industry with commercial and operational expertise. He served as the President and Chief Executive Officer of PhotoniCare, Inc., from May 2023 until January 2025. Prior to this appointment, he was President and CEO of Titan Medical, and he served as an independent director for its Board of Directors through November 2024. Previously, Mr. Vance served as President and CEO of XCath, a privately held neurovascular robotics company, having also served as the CEO of OptiScan Biomedical, Myoscience, and Hansen Medical. Prior to his role at Hansen Medical, he served in various global executive leadership roles at Teleflex, Covidien, and GE HealthCare. He supported these companies as they commercialized and transformed markets with their disruptive and game-changing technologies. Mr. Vance is Lean/Six Sigma Black Belt Certified, NACD Certified, and holds both a Bachelor of Arts degree in Economics and an MBA from Marquette University. We believe Mr. Vance is qualified to continue to serve as the Executive Chairman of our Board based on his leadership and governance experience, together with his extensive commercial and operational expertise in the healthcare industry.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Professor Suzanne Crowe AO </w:t>
      </w:r>
      <w:r>
        <w:rPr>
          <w:rFonts w:ascii="Times New Roman" w:hAnsi="Times New Roman"/>
          <w:color w:val="000000"/>
          <w:sz w:val="20"/>
        </w:rPr>
        <w:t>has served as a Director since January 2016. Australia-based, she is a physician and a scientist, and as a non-executive Director, provides expert support of our medical and scientific strategies. Professor Crowe is an Emeritus Professor at Monash University Melbourne and retired after 35 years of service as both Associate Director Clinical Research at the Burnet Institute and Senior Specialist Physician in Infectious Diseases at The Alfred Hospital Melbourne. A Fellow of the Australian Institute of Company Directors, she is currently a Director of Sonic Healthcare Ltd, a large global medical diagnostics company. In addition, she served on the board of St. Vincent’s Health Australia Ltd., that country’s largest not-for-profit health and aged care provider, from 2012 to 2021. In June 2020, Professor Crowe was appointed as Officer of the Order of Australia in recognition of her distinguished services to health, clinical governance, biomedical research, and education. We believe Professor Crowe is qualified to serve on our Board based on her medical and research expertise.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Jeremy Curnock Cook </w:t>
      </w:r>
      <w:r>
        <w:rPr>
          <w:rFonts w:ascii="Times New Roman" w:hAnsi="Times New Roman"/>
          <w:color w:val="000000"/>
          <w:sz w:val="20"/>
        </w:rPr>
        <w:t xml:space="preserve">has served as a Director since October 2012. He is a veteran in the healthcare services and life sciences industries, actively supporting the commercialization of healthcare innovations and helping entrepreneurs build their international businesses over the past 45 years. Mr. Curnock Cook is currently Founder and Managing Director of BioScience Managers, a healthcare investment firm with an approximate aggregate $AU200M under management by various of its funds. Over his career, Mr. Curnock Cook has successfully managed in excess of $US1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founded a European-focused seed fund with Johnson &amp; Johnson and built the International Biotechnology Trust. In addition to serving on our Board, Mr. Curnock Cook currently serves on the following boards: International BioScience Managers Ltd (appointed March 2000), Bioscience Managers Pty Ltd (appointed January 2003), REX Bionics Pty Ltd (appointed February 2012), Sheldon LTD (formerly Sea Dragon; appointed October 2012), Adherium Ltd appointed (April 2015), BioScience Managers UK Ltd (appointed August 2017), Marine Department Ltd (appointed January 2019), and JLCC Ltd (appointed December 2019). We believe Mr. Curnock Cook is qualified to serve on our Board based on his extensive global experience in the life sciences industry, specifically with companies focused on innovation.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Robert McNamara</w:t>
      </w:r>
      <w:r>
        <w:rPr>
          <w:rFonts w:ascii="Times New Roman" w:hAnsi="Times New Roman"/>
          <w:color w:val="000000"/>
          <w:sz w:val="20"/>
        </w:rPr>
        <w:t xml:space="preserve"> has served as a non-executive Director since April 2023 and as the chair of the Audit Committee since May 2023. He has over 25 years of leadership experience in public and privately held companies in the medical device and technology industries. His extensive experience in operations and financial management spans across early-stage, high-growth, and mature companies. Mr. McNamara previously served as a member of the Board and the Audit Committee, and Chair of the Compensation Committee for Xtant Medical Holdings (NYSE: XTNT). He is a former member of the Board of Directors and Chair of the Audit Committee for Axonics, Inc. Prior to these appointments, Mr. McNamara served as Executive Vice President, Chief Financial Officer of LDR Holding/Spine. Prior to this role, he served as the Chief Financial Officer of three publicly traded medical device companies: Accuray, Somnus Medical Technologies, and Target Therapeutics. Mr. McNamara holds a Bachelor of Science in Accounting from the University of San Francisco and an MBA from The Wharton School, University of Pennsylvania. We believe Mr. McNamara is qualified to serve on our Board because of his financial expertise, especially with high-growth companies, as well as his experience with enterprise risk management and other financial control requirements of U.S. public companies.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Jan Stern Reed</w:t>
      </w:r>
      <w:r>
        <w:rPr>
          <w:rFonts w:ascii="Times New Roman" w:hAnsi="Times New Roman"/>
          <w:color w:val="000000"/>
          <w:sz w:val="20"/>
        </w:rPr>
        <w:t xml:space="preserve"> was appointed Lead Independent Director on October 16, 2025, and has served as a Director since July 2021, and Chair of the Nominating and Corporate Governance Committee since May of 2023. She has more than 35 years of legal, business management, and executive leadership experience primarily in the healthcare industry, and brings significant expertise in corporate governance, compliance, and risk management. Ms. Reed currently serves as a board member of Stepan Co. (NYSE: SCL), a major manufacturer of specialty and intermediate chemicals used in a broad range of industries, and AngioDynamics, Inc. (NASDAQ: ANGO), an industry-leading and transformative medical technology company focused on improving patient outcomes. Previously, Ms. Reed served as Senior Vice President, General Counsel and Corporate Secretary at Walgreens Boots Alliance, Inc., a global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We believe Ms. Reed is qualified to serve on our Board based on her extensive experience in legal, corporate governance, compliance, human resources, audit and enterprise risk management, general business management, and executive leadership.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Dr. Michael Tarnoff </w:t>
      </w:r>
      <w:r>
        <w:rPr>
          <w:rFonts w:ascii="Times New Roman" w:hAnsi="Times New Roman"/>
          <w:color w:val="000000"/>
          <w:sz w:val="20"/>
        </w:rPr>
        <w:t>was appointed a non-executive Director in August 2025, and has served as the chair of the Human Capital and Compensation Committee since October 2025. Dr. Tarnoff spent 23 years of his professional career at Tufts Medical Center, serving in various executive leadership roles, most recently as the Chief Physician Executive and CEO, until 2024. While serving in various leadership positions at Tufts, Dr. Tarnoff served as Chief Medical Officer and Vice President, Medical Affairs at Medtronic, Inc. from 2015 to 2019. Before working for Medtronic, from 2008 through 2015, Dr. Tarnoff was the Corporate Chief Medical Officer and Vice President, Medical Affairs, and before that position, the Chief Medical Officer and Vice President, Medical Affairs of the Surgical Devices division, at Covidien plc. Additional executive leadership experience includes roles serving as Medical Director at GI Dynamics, Inc. from 2006 to 2008, as well as Chief Medical Consultant to the Kendall surgery unit of Tyco Healthcare from 2005 to 2008. After earning a Bachelor of Arts degree from Washington University in St. Louis, Dr. Tarnoff received his medical degree from the University of Medicine and Dentistry of New Jersey. He then completed a general surgery residency at Rutgers Medical School, followed by an advanced fellowship in laparoscopic surgery at the Cleveland Clinic. We believe Dr. Tarnoff is qualified to serve on our Board based on his extensive medical experience and expertise in clinical innovation, together with his executive leadership experience.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Joseph Woody</w:t>
      </w:r>
      <w:r>
        <w:rPr>
          <w:rFonts w:ascii="Times New Roman" w:hAnsi="Times New Roman"/>
          <w:color w:val="000000"/>
          <w:sz w:val="20"/>
        </w:rPr>
        <w:t xml:space="preserve"> was appointed a non-executive Director in January 2026. Mr. Woody is a seasoned healthcare executive with more than two decades of leadership experience across the medical technology sector, most recently serving as CEO of Avanos Medical from 2017 to 2024, and previously, as President and CEO of Acelity Holdings. His background spans multiple senior executive roles, including with Covidien and Smith &amp; Nephew. Mr. Woody also served on the Board of Directors of AdvaMed, Inc., the largest trade association in the U.S. for the medical device, diagnostics, and digital health technology sectors, for over a decade. We believe Mr. Woody is qualified to serve on our Board based on his extensive medical technology experience and commercial expertise.</w:t>
      </w:r>
    </w:p>
    <w:p>
      <w:pPr>
        <w:pStyle w:val="TextBody"/>
        <w:bidi w:val="0"/>
        <w:jc w:val="left"/>
        <w:rPr/>
      </w:pPr>
      <w:r>
        <w:rPr/>
        <w:t> </w:t>
      </w:r>
    </w:p>
    <w:p>
      <w:pPr>
        <w:pStyle w:val="TextBody"/>
        <w:bidi w:val="0"/>
        <w:jc w:val="left"/>
        <w:rPr>
          <w:rFonts w:ascii="Times New Roman" w:hAnsi="Times New Roman"/>
          <w:b/>
          <w:color w:val="000000"/>
          <w:sz w:val="20"/>
        </w:rPr>
      </w:pPr>
      <w:bookmarkStart w:id="6" w:name="director_independence"/>
      <w:bookmarkEnd w:id="6"/>
      <w:r>
        <w:rPr>
          <w:rFonts w:ascii="Times New Roman" w:hAnsi="Times New Roman"/>
          <w:b/>
          <w:color w:val="000000"/>
          <w:sz w:val="20"/>
        </w:rPr>
        <w:t>Director Independence</w:t>
      </w:r>
    </w:p>
    <w:p>
      <w:pPr>
        <w:pStyle w:val="TextBody"/>
        <w:bidi w:val="0"/>
        <w:jc w:val="left"/>
        <w:rPr>
          <w:rFonts w:ascii="Times New Roman" w:hAnsi="Times New Roman"/>
          <w:color w:val="000000"/>
          <w:sz w:val="20"/>
        </w:rPr>
      </w:pPr>
      <w:r>
        <w:rPr>
          <w:rFonts w:ascii="Times New Roman" w:hAnsi="Times New Roman"/>
          <w:color w:val="000000"/>
          <w:sz w:val="20"/>
        </w:rPr>
        <w:br/>
        <w:t>Our Board has determined that Professor Suzanne Crowe, Jeremy Curnock Cook, Robert McNamara, Jan Stern Reed, Dr. Michael Tarnoff, and Joseph Woody are each independent for purposes of the rules of the Nasdaq Listing Rules and the SEC and for the purposes of the ASX Listing Rules and the 4th Edition of the ASX Corporate Governance Council’s Corporate Governance Principles and Recommendations (the “ASX Corporate Governance Principles”). Furthermore, our Board has determined that all of the members of our Audit, Human Capital and Compensation, and Nominating and Corporate Governance Committees are independent within the meaning of the director independence standards of the Nasdaq Listing Rules, the applicable rules of the SEC, the ASX Listing Rules and the ASX Corporate Governance Principles. Every independent Director is a member of each Committee.</w:t>
      </w:r>
    </w:p>
    <w:p>
      <w:pPr>
        <w:pStyle w:val="TextBody"/>
        <w:bidi w:val="0"/>
        <w:jc w:val="left"/>
        <w:rPr>
          <w:rFonts w:ascii="Times New Roman" w:hAnsi="Times New Roman"/>
          <w:color w:val="000000"/>
          <w:sz w:val="20"/>
        </w:rPr>
      </w:pPr>
      <w:r>
        <w:rPr>
          <w:rFonts w:ascii="Times New Roman" w:hAnsi="Times New Roman"/>
          <w:color w:val="000000"/>
          <w:sz w:val="20"/>
        </w:rPr>
        <w:br/>
        <w:t>Our Board has determined that Cary Vance is not independent under the director independence standards of the Nasdaq Listing Rules, the applicable rules of the SEC, the ASX Listing Rules and the ASX Corporate Governance Principles.</w:t>
      </w:r>
    </w:p>
    <w:p>
      <w:pPr>
        <w:pStyle w:val="TextBody"/>
        <w:bidi w:val="0"/>
        <w:jc w:val="left"/>
        <w:rPr/>
      </w:pPr>
      <w:r>
        <w:rPr/>
        <w:t> </w:t>
      </w:r>
    </w:p>
    <w:p>
      <w:pPr>
        <w:pStyle w:val="TextBody"/>
        <w:bidi w:val="0"/>
        <w:jc w:val="left"/>
        <w:rPr>
          <w:rFonts w:ascii="Times New Roman" w:hAnsi="Times New Roman"/>
          <w:b/>
          <w:color w:val="000000"/>
          <w:sz w:val="20"/>
        </w:rPr>
      </w:pPr>
      <w:bookmarkStart w:id="7" w:name="current_committee_table"/>
      <w:bookmarkEnd w:id="7"/>
      <w:r>
        <w:rPr>
          <w:rFonts w:ascii="Times New Roman" w:hAnsi="Times New Roman"/>
          <w:b/>
          <w:color w:val="000000"/>
          <w:sz w:val="20"/>
        </w:rPr>
        <w:t>Current Committee Table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current committees of the Board and their respective members are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8"/>
        <w:gridCol w:w="146"/>
        <w:gridCol w:w="1141"/>
        <w:gridCol w:w="146"/>
        <w:gridCol w:w="2698"/>
        <w:gridCol w:w="146"/>
        <w:gridCol w:w="1297"/>
        <w:gridCol w:w="146"/>
        <w:gridCol w:w="2887"/>
      </w:tblGrid>
      <w:tr>
        <w:trPr/>
        <w:tc>
          <w:tcPr>
            <w:tcW w:w="1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r>
      <w:tr>
        <w:trPr/>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Independent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Human Capital and 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 and Corporate Governance Committee</w:t>
            </w:r>
          </w:p>
        </w:tc>
      </w:tr>
      <w:tr>
        <w:trPr/>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r>
      <w:tr>
        <w:trPr/>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Michael Tarnoff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Woody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Each of these committees operates under a written charter and reports regularly to the Board. A copy of each of these committee charters is available in the “Investors” section of the Company’s website under the heading “Corporate Governance” at </w:t>
      </w:r>
      <w:r>
        <w:rPr>
          <w:rFonts w:ascii="Times New Roman" w:hAnsi="Times New Roman"/>
          <w:i/>
          <w:color w:val="000000"/>
          <w:sz w:val="20"/>
        </w:rPr>
        <w:t>ir.avitamedical.com</w:t>
      </w:r>
      <w:r>
        <w:rPr>
          <w:rFonts w:ascii="Times New Roman" w:hAnsi="Times New Roman"/>
          <w:color w:val="000000"/>
          <w:sz w:val="20"/>
        </w:rPr>
        <w:t>, and copies may also be obtained by request through the “Contact” heading at the same website address. Our Internet website and the information contained therein or connected thereto are not intended to be incorporated into this Proxy Statement.</w:t>
      </w:r>
    </w:p>
    <w:p>
      <w:pPr>
        <w:pStyle w:val="TextBody"/>
        <w:bidi w:val="0"/>
        <w:jc w:val="left"/>
        <w:rPr/>
      </w:pPr>
      <w:r>
        <w:rPr/>
        <w:t> </w:t>
      </w:r>
    </w:p>
    <w:p>
      <w:pPr>
        <w:pStyle w:val="TextBody"/>
        <w:bidi w:val="0"/>
        <w:jc w:val="left"/>
        <w:rPr>
          <w:rFonts w:ascii="Times New Roman" w:hAnsi="Times New Roman"/>
          <w:sz w:val="20"/>
        </w:rPr>
      </w:pPr>
      <w:bookmarkStart w:id="8" w:name="audit_committee"/>
      <w:bookmarkEnd w:id="8"/>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has an Audit Committee in accordance with Section 3(a)(58)(A) of the U.S. Securities Exchange Act of 1934, as amended (the “Exchange Act”). Our Audit Committee assists our Board in overseeing our accounting and financial reporting processes and audits of our financial statements, including the integrity of our financial statements and internal financial controls. The Audit Committee is also required to oversee our compliance with legal and regulatory requirements, the qualifications and independence of our registered public accounting firm, enterprise risk management processes, and such other duties as may be directed by our Board.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Nasdaq Listing Rules require us to establish an audit committee comprised of at least three members, each of whom is financially literate and satisfies the independence requirements of the SEC and Nasdaq and one of whom has accounting or related financial management expertise at senior levels within a company. In addition, the ASX Listing Rules and the ASX Corporate Governance Principles require us to have an audit committee comprised of at least three members, all of whom are non-executive Directors and a majority of whom are “independent directors,” and which is chaired by an independent director who does not also serve as chair of the Board.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Audit Committee currently consists of six Board members, each of whom satisfies the independence requirements (thereby, is an “independent director”) of the SEC, Nasdaq Listing Rules, the ASX Listing Rules, and the ASX Corporate Governance Principles. The Audit Committee is composed of Professor Crowe, Mr. Curnock Cook, Mr. McNamara, Ms. Reed, Dr. Tarnoff, and Mr. Woody.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McNamara is the current Audit Committee Chair and was appointed to that role in May 2023. Our Board has determined that Mr. McNamara is an “audit committee financial expert,” as defined in Item 407(d)(5)(ii) of Regulation S-K. The Audit Committee meets at least four times per 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held a total of four meetings during the annual period ended December 31, 2025. All members of the Audit Committee attended at least 75% of the meetings held during the time at which they were a Committee member.</w:t>
      </w:r>
    </w:p>
    <w:p>
      <w:pPr>
        <w:pStyle w:val="TextBody"/>
        <w:bidi w:val="0"/>
        <w:jc w:val="left"/>
        <w:rPr/>
      </w:pPr>
      <w:r>
        <w:rPr/>
        <w:t> </w:t>
      </w:r>
    </w:p>
    <w:p>
      <w:pPr>
        <w:pStyle w:val="TextBody"/>
        <w:bidi w:val="0"/>
        <w:jc w:val="left"/>
        <w:rPr>
          <w:rFonts w:ascii="Times New Roman" w:hAnsi="Times New Roman"/>
          <w:sz w:val="20"/>
        </w:rPr>
      </w:pPr>
      <w:bookmarkStart w:id="9" w:name="compensation_committee"/>
      <w:bookmarkEnd w:id="9"/>
      <w:r>
        <w:rPr>
          <w:rFonts w:ascii="Times New Roman" w:hAnsi="Times New Roman"/>
          <w:b/>
          <w:color w:val="000000"/>
          <w:sz w:val="20"/>
        </w:rPr>
        <w:t>Human Capital and Compensation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also has a Human Capital and Compensation Committee, which is comprised of independent directors within the meanings of Nasdaq Listing Rules and the ASX Corporate Governance Principles. The Human Capital and Compensation Committee is currently comprised of Professor Crowe, Mr. Curnock Cook, Mr. McNamara, Ms. Reed, Dr. Tarnoff, and Mr. Woody, with Cary Vance serving as the Chair from January through October 15, 2025, with Dr. Tarnoff assuming the position of Chair as of October 16, 2025. The Human Capital and Compensation Committee is responsible for reviewing the salary, incentives, and other benefits of our directors, executive officers and employees, and making recommendations on such matters for approval by our Board. The Human Capital and Compensation Committee is also responsible for overseeing and advising on our compensation practices and other human capital programs.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Human Capital and Compensation Committee held a total of eight meetings during the annual period ended December 31, 2025. All members of the Human Capital and Compensation Committee attended at least 75% of the meetings held during the time at which they were each a Committee member.</w:t>
      </w:r>
    </w:p>
    <w:p>
      <w:pPr>
        <w:pStyle w:val="TextBody"/>
        <w:bidi w:val="0"/>
        <w:jc w:val="left"/>
        <w:rPr/>
      </w:pPr>
      <w:r>
        <w:rPr/>
        <w:t> </w:t>
      </w:r>
    </w:p>
    <w:p>
      <w:pPr>
        <w:pStyle w:val="TextBody"/>
        <w:bidi w:val="0"/>
        <w:jc w:val="left"/>
        <w:rPr>
          <w:rFonts w:ascii="Times New Roman" w:hAnsi="Times New Roman"/>
          <w:sz w:val="20"/>
        </w:rPr>
      </w:pPr>
      <w:bookmarkStart w:id="10" w:name="nominating_corporate_governance"/>
      <w:bookmarkEnd w:id="10"/>
      <w:r>
        <w:rPr>
          <w:rFonts w:ascii="Times New Roman" w:hAnsi="Times New Roman"/>
          <w:b/>
          <w:color w:val="000000"/>
          <w:sz w:val="20"/>
        </w:rPr>
        <w:t>Nominating and Corporate Governance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also has a Nominating and Corporate Governance Committee. Under the ASX Corporate Governance Principles, our Nominating and Corporate Governance Committee should have at least three members, a majority of whom are independent, and should also be chaired by an independent director. Professor Crowe, Mr. Curnock Cook, Mr. McNamara, Ms. Reed, Dr. Tarnoff, and Mr. Woody are the current members of the Nominating and Corporate Governance Committee, and each qualifies as an independent director within the meaning of the Nasdaq Listing Rules and the ASX Corporate Governance Principles. Ms. Reed serves as the Chair.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held a total of five meetings during the annual period ended December 31, 2025. All members of the Nominating and Corporate Governance Committee attended at least 75% of the meetings held during the time at which they were each a Committee member.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oversees, reviews, and receives updates on the Company’s significant legal and regulatory compliance matters, with the exception that matters with financial implications are referred to and reviewed by the Audit Committee. Matters within the Committee’s oversight responsibilities may include, without limitation, compliance with laws, interactions with healthcare professionals, employee health and safety, fair dealing, anti-bribery, data privacy and cybersecurity and product quality compliance.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also oversees, reviews, and receives updates regarding the Company’s ethics and compliance reporting mechanisms and significant investigations. This includes (i) reviewing reports on (a) the process for how ethics and compliance issues are identified and reported to the Company’s compliance officers; and (b) all significant investigations directed by the Company's compliance officers pursuant to the Company’s compliance policies and practices; and (ii) overseeing the Company’s processes upholding confidentiality, independence, objectivity, and professionalism as guiding principles in its investigations.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process_for_nominating"/>
      <w:bookmarkEnd w:id="11"/>
      <w:r>
        <w:rPr>
          <w:rFonts w:ascii="Times New Roman" w:hAnsi="Times New Roman"/>
          <w:b/>
          <w:color w:val="000000"/>
          <w:sz w:val="20"/>
        </w:rPr>
        <w:t>Process for Nominating Potential Director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is responsible for identifying and evaluating potential director candidates and recommending qualified candidates for election by the stockholders consistent with a skills matrix maintained and reviewed annually by the Board. Nominees for director are selected by the Nominating and Corporate Governance Committee on the basis of their (i) academic, financial, business leadership, and other expertise useful to the oversight of the Company’s business; (ii) integrity, demonstrated sound business judgment, and high moral and ethical character; (iii) diversity of viewpoints, backgrounds, experiences, and other demographics; (iv) business or other relevant professional experience; (v) capacity and desire to represent the balanced, best interests of the Company, its employees, and its stockholders as a whole and not primarily a special interest group or constituency; (vi) ability and willingness to devote time to the affairs and success of the Company and in fulfilling the responsibilities of a Director; and (vii) the extent to which the interplay of the candidate’s expertise, skills, knowledge, and experience with that of other Directors will maintain a Board that is professional, effective, collegial, and responsive to the needs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identifies candidates from a variety of backgrounds and considers all candidates equally. The Nominating and Corporate Governance Committee reviews the background and qualifications of each nominee to determine such nominee’s experience, competence, character, and potential contribution to the Board and its committees, taking into account the then existing composition of the Board and such other factors as the Nominating and Corporate Governance Committee deems appropriate. The Board should collectively possess skills, industry knowledge and expertise, and other experience useful for the effective oversight of the Company’s business. The Nominating and Corporate Governance Committee believes that the professional experience of its Directors has been, and continues to be, critical to the Company’s continued growth and success.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values the input of stockholders in identifying director candidates. Accordingly, although the Nominating and Corporate Governance Committee does not have a specific policy with regard to the consideration of candidates recommended by stockholders, the Nominating and Corporate Governance Committee considers recommendations for Board candidates submitted by stockholders using substantially the same criteria as it applies to recommendations from the Nominating and Corporate Governance Committee. Any such nominations should be submitted to the Nominating and Corporate Governance Committee in line with the instructions provided later in this Proxy Statement under the caption “Requirements for Stockholder Proposals to be brought before the 2027 Annual Meeting of Stockholders” and in compliance with other specific procedural requirements set forth in the Company’s Bylaws. </w:t>
      </w:r>
    </w:p>
    <w:p>
      <w:pPr>
        <w:pStyle w:val="TextBody"/>
        <w:bidi w:val="0"/>
        <w:jc w:val="left"/>
        <w:rPr>
          <w:rFonts w:ascii="Times New Roman" w:hAnsi="Times New Roman"/>
          <w:sz w:val="20"/>
        </w:rPr>
      </w:pPr>
      <w:bookmarkStart w:id="12" w:name="board_meetings"/>
      <w:bookmarkEnd w:id="12"/>
      <w:r>
        <w:rPr>
          <w:rFonts w:ascii="Times New Roman" w:hAnsi="Times New Roman"/>
          <w:b/>
          <w:color w:val="000000"/>
          <w:sz w:val="20"/>
        </w:rPr>
        <w:t>Board Meetings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held a total of twelve meetings during the annual period ended December 31, 2025. All members of the Board attended at least 75% of the meetings of the Board and of any committee on which they served during the time in which they were a member of the Board or such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during the calendar year ending December 31, 2026, the Board is currently scheduled to meet five times.</w:t>
      </w:r>
    </w:p>
    <w:p>
      <w:pPr>
        <w:pStyle w:val="TextBody"/>
        <w:bidi w:val="0"/>
        <w:jc w:val="left"/>
        <w:rPr/>
      </w:pPr>
      <w:r>
        <w:rPr/>
        <w:t> </w:t>
      </w:r>
    </w:p>
    <w:p>
      <w:pPr>
        <w:pStyle w:val="TextBody"/>
        <w:bidi w:val="0"/>
        <w:jc w:val="left"/>
        <w:rPr>
          <w:rFonts w:ascii="Times New Roman" w:hAnsi="Times New Roman"/>
          <w:b/>
          <w:color w:val="000000"/>
          <w:sz w:val="20"/>
        </w:rPr>
      </w:pPr>
      <w:bookmarkStart w:id="13" w:name="director_attendance_at_annual_meeting"/>
      <w:bookmarkEnd w:id="13"/>
      <w:r>
        <w:rPr>
          <w:rFonts w:ascii="Times New Roman" w:hAnsi="Times New Roman"/>
          <w:b/>
          <w:color w:val="000000"/>
          <w:sz w:val="20"/>
        </w:rPr>
        <w:t>Director Attendance at Annual Meeting of Stockholders</w:t>
      </w:r>
    </w:p>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The Board encourages all Directors and director nominees to attend the Company’s Annual Meeting. All members of our Board then serving on the Board except for Mr. Curnock Cook were present at the 2025 Annual Meeting of Stockholders.</w:t>
      </w:r>
    </w:p>
    <w:p>
      <w:pPr>
        <w:pStyle w:val="TextBody"/>
        <w:bidi w:val="0"/>
        <w:jc w:val="left"/>
        <w:rPr/>
      </w:pPr>
      <w:r>
        <w:rPr/>
        <w:t> </w:t>
      </w:r>
    </w:p>
    <w:p>
      <w:pPr>
        <w:pStyle w:val="TextBody"/>
        <w:bidi w:val="0"/>
        <w:jc w:val="left"/>
        <w:rPr>
          <w:rFonts w:ascii="Times New Roman" w:hAnsi="Times New Roman"/>
          <w:b/>
          <w:color w:val="000000"/>
          <w:sz w:val="20"/>
        </w:rPr>
      </w:pPr>
      <w:bookmarkStart w:id="14" w:name="code_of_business_conduct_ethics"/>
      <w:bookmarkEnd w:id="14"/>
      <w:r>
        <w:rPr>
          <w:rFonts w:ascii="Times New Roman" w:hAnsi="Times New Roman"/>
          <w:b/>
          <w:color w:val="000000"/>
          <w:sz w:val="20"/>
        </w:rPr>
        <w:t>Code of Business Conduct and Ethics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adopted a written code of business conduct and ethics that applies to all Company directors, officers, employees, and consultants (the “Code”) which the Board reviews, and for which it provides training, on an annual basis. A copy of the Code is posted under the heading “Corporate Governance” on the Investor Relations section of the Company’s website, which is located at https://avitamedical.com/. If the Company makes any substantive amendments to, or grants any waivers from, the Code for any officer or director, the Company will disclose the nature of such amendment or waiver on its website or in a current report on Form 8-K.</w:t>
      </w:r>
    </w:p>
    <w:p>
      <w:pPr>
        <w:pStyle w:val="TextBody"/>
        <w:bidi w:val="0"/>
        <w:jc w:val="left"/>
        <w:rPr/>
      </w:pPr>
      <w:r>
        <w:rPr/>
        <w:t> </w:t>
      </w:r>
    </w:p>
    <w:p>
      <w:pPr>
        <w:pStyle w:val="TextBody"/>
        <w:bidi w:val="0"/>
        <w:jc w:val="left"/>
        <w:rPr>
          <w:rFonts w:ascii="Times New Roman" w:hAnsi="Times New Roman"/>
          <w:b/>
          <w:color w:val="000000"/>
          <w:sz w:val="20"/>
        </w:rPr>
      </w:pPr>
      <w:bookmarkStart w:id="15" w:name="insider_trading_policy"/>
      <w:bookmarkEnd w:id="15"/>
      <w:r>
        <w:rPr>
          <w:rFonts w:ascii="Times New Roman" w:hAnsi="Times New Roman"/>
          <w:b/>
          <w:color w:val="000000"/>
          <w:sz w:val="20"/>
        </w:rPr>
        <w:t>Insider Trading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adopted an Insider Trading Policy (the “Insider Trading Policy”) which outlines certain procedures governing the purchase, sale and/or other dispositions of our securities by our Directors, officers, employees, and, to the extent that they possess material non-public information, certain consultants, contractors or other individuals retained by the Company (“Restricted Persons”). These Insider Trading Policy procedures are designed to promote compliance with insider trading laws, rules, and regulations applicable to our Company. Our Insider Trading Policy has been filed as Exhibit 19 to our 2025 Annual Report on Form 10-K (the “FY25 10-K”), as required by the rules and regulations of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prohibition_on_short_selling"/>
      <w:bookmarkEnd w:id="16"/>
      <w:r>
        <w:rPr>
          <w:rFonts w:ascii="Times New Roman" w:hAnsi="Times New Roman"/>
          <w:b/>
          <w:color w:val="000000"/>
          <w:sz w:val="20"/>
        </w:rPr>
        <w:t>Prohibition on Short Selling, Hedging Transactions and Short-Term Trading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our Insider Trading Policy, Restricted Persons are not permitted to engage in any short sale of our securities, or otherwise engage in transactions, that hedge or offset, or are designed to hedge or offset, any decrease in the market value of our securities.</w:t>
      </w:r>
    </w:p>
    <w:p>
      <w:pPr>
        <w:pStyle w:val="TextBody"/>
        <w:bidi w:val="0"/>
        <w:jc w:val="left"/>
        <w:rPr/>
      </w:pPr>
      <w:r>
        <w:rPr/>
        <w:t> </w:t>
      </w:r>
    </w:p>
    <w:p>
      <w:pPr>
        <w:pStyle w:val="TextBody"/>
        <w:bidi w:val="0"/>
        <w:jc w:val="left"/>
        <w:rPr>
          <w:rFonts w:ascii="Times New Roman" w:hAnsi="Times New Roman"/>
          <w:sz w:val="20"/>
        </w:rPr>
      </w:pPr>
      <w:bookmarkStart w:id="17" w:name="board_leadership_structure"/>
      <w:bookmarkEnd w:id="17"/>
      <w:r>
        <w:rPr>
          <w:rFonts w:ascii="Times New Roman" w:hAnsi="Times New Roman"/>
          <w:b/>
          <w:color w:val="000000"/>
          <w:sz w:val="20"/>
        </w:rPr>
        <w:t>Bo</w:t>
      </w:r>
      <w:bookmarkStart w:id="18" w:name="board_leadership"/>
      <w:bookmarkEnd w:id="18"/>
      <w:r>
        <w:rPr>
          <w:rFonts w:ascii="Times New Roman" w:hAnsi="Times New Roman"/>
          <w:b/>
          <w:color w:val="000000"/>
          <w:sz w:val="20"/>
        </w:rPr>
        <w:t>ard Leadership 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current Executive Chairman of the Board is Cary Vance, who has been serving as the Company’s Interim CEO since October 16, 2025. In light of his executive position, Mr. Vance does not qualify as an independent director under Nasdaq Listing Rules and for the purposes of the ASX Corporate Governance Principles. Simultaneously with Mr. Vance’s appointment to the Interim CEO position, and to balance this leadership structure, the Board appointed Ms. Reed to serve as its Lead Independent Director. The Board believes that Ms. Reed’s service as Lead Independent Director provides the Company with independent oversight by the Board. The non-executive Directors meet regularly in executive session at least quarterly without the presence of the Interim CEO. The Lead Independent Director presides over the executive sessions of the non-executive Directors, serves as a liaison between non-executive Directors and the Executive Chairman/Interim CEO, reviews and approves Board meeting agendas in consultation with the Executive Chairman, and is available for consultation with stockholders as appropriate. The Board regularly reviews its composition and leadership structure and believes that the current combination of the Executive Chairman/Interim CEO and the Lead Independent Director position serves the best interests of the Company and its stockholders at this time. As of the date of this Proxy Statement, 33% of the non-executive Directors are female.</w:t>
      </w:r>
    </w:p>
    <w:p>
      <w:pPr>
        <w:pStyle w:val="TextBody"/>
        <w:bidi w:val="0"/>
        <w:jc w:val="left"/>
        <w:rPr/>
      </w:pPr>
      <w:r>
        <w:rPr/>
        <w:t> </w:t>
      </w:r>
    </w:p>
    <w:p>
      <w:pPr>
        <w:pStyle w:val="TextBody"/>
        <w:bidi w:val="0"/>
        <w:jc w:val="left"/>
        <w:rPr>
          <w:rFonts w:ascii="Times New Roman" w:hAnsi="Times New Roman"/>
          <w:sz w:val="20"/>
        </w:rPr>
      </w:pPr>
      <w:bookmarkStart w:id="19" w:name="risk_oversight"/>
      <w:bookmarkEnd w:id="19"/>
      <w:r>
        <w:rPr>
          <w:rFonts w:ascii="Times New Roman" w:hAnsi="Times New Roman"/>
          <w:b/>
          <w:color w:val="000000"/>
          <w:sz w:val="20"/>
        </w:rPr>
        <w:t>Risk Oversight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management is responsible for assessing and managing risks to the Company on a day-to-day basis, the Company’s Board oversees management’s efforts to assess and manage risk. The Board (particularly through the Audit Committee) monitors and receives advice on areas of financial, operational and strategic risk and considers appropriate enterprise risk management processes. Specific areas of enterprise risk which are regularly considered at Board meetings include: product portfolio expansion, acceptance by regulatory authorities of the Company’s products, government and private payor reimbursement, clinical research data, debt service, management of cash and operating expenses, expansion into international markets, and human resources. Additional areas of focus for the Board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the Company’s long-term growth;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strategic and operational planning, including the evaluation of the Company’s capital structure;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legal and regulatory compliance, including US and Australia disclosure obligations.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enterprise risk management by the Audit Committee, the Human Capital and Compensation Committee oversees the risks associated with the Company’s compensation policies and practices with respect to both Director and executive compensation as well as employee compensation matters. Further, the Nominating and Corporate Governance Committee oversees risks associated with the Company’s overall governance and compliance practices, as well as the composition and leadership structure of the Board.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Board’s role in risk oversight is coordinated with the Company’s executive leadership, which assesses and manages the Company’s risk exposure, and reports concerns and progress relating to such risk management to the Board and committees on at least a quarterly basis. </w:t>
      </w:r>
    </w:p>
    <w:p>
      <w:pPr>
        <w:pStyle w:val="TextBody"/>
        <w:bidi w:val="0"/>
        <w:jc w:val="left"/>
        <w:rPr/>
      </w:pPr>
      <w:r>
        <w:rPr/>
        <w:t> </w:t>
      </w:r>
    </w:p>
    <w:p>
      <w:pPr>
        <w:pStyle w:val="TextBody"/>
        <w:bidi w:val="0"/>
        <w:jc w:val="left"/>
        <w:rPr>
          <w:rFonts w:ascii="Times New Roman" w:hAnsi="Times New Roman"/>
          <w:b/>
          <w:color w:val="000000"/>
          <w:sz w:val="20"/>
        </w:rPr>
      </w:pPr>
      <w:bookmarkStart w:id="20" w:name="cybersecurity_risk_management"/>
      <w:bookmarkEnd w:id="20"/>
      <w:r>
        <w:rPr>
          <w:rFonts w:ascii="Times New Roman" w:hAnsi="Times New Roman"/>
          <w:b/>
          <w:color w:val="000000"/>
          <w:sz w:val="20"/>
        </w:rPr>
        <w:t>Cybersecurity 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implemented an Information Security Management System (“ISMS”). The Company’s ISMS is a continuous process designed to analyze the potential risks, vulnerabilities, the likeliness of occurrence, and the related consequences of cybersecurity threats. The process is based on establishing the context, assessing the risks, and treating the risks. The key concept of the ISMS is to consistently maintain and improve confidentiality, integrity, and availability of information assets that should be protected by the organization on behalf of itself and its clients, and third parties. The Company has a cybersecurity incident response plan in place that provides a documented framework for handling high and low severity security incidents and facilitates coordination across multiple parts of the business. The Company also conducts internal phishing campaigns and performs an independent penetration test on an annual basis. In addition, we conduct regular security awareness training and testing of our employees. Finally, the Company engages an independent third-party cybersecurity services and consulting firm to continuously review our information security. The Company has not had any material cybersecurity incidents.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ISMS is established in accordance with the requirements of International Organization for Standardization 27001 and 27002 (“ISO 27001” and “ISO 27002”). The ISO 27001 provides a framework and guidelines for establishing, implementing and managing an ISMS and ISO 27002 provides a reference set of generic information security controls including implementation guidance.</w:t>
      </w:r>
    </w:p>
    <w:p>
      <w:pPr>
        <w:pStyle w:val="TextBody"/>
        <w:bidi w:val="0"/>
        <w:jc w:val="left"/>
        <w:rPr>
          <w:rFonts w:ascii="Times New Roman" w:hAnsi="Times New Roman"/>
          <w:b/>
          <w:color w:val="000000"/>
          <w:sz w:val="20"/>
        </w:rPr>
      </w:pPr>
      <w:bookmarkStart w:id="21" w:name="disclosure_of_management_responsibility"/>
      <w:bookmarkEnd w:id="21"/>
      <w:r>
        <w:rPr>
          <w:rFonts w:ascii="Times New Roman" w:hAnsi="Times New Roman"/>
          <w:b/>
          <w:color w:val="000000"/>
          <w:sz w:val="20"/>
        </w:rPr>
        <w:t>Disclosure of Management’s Responsibility</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Financial Officer (the “CFO”) is primarily responsible for overseeing the Cybersecurity Risk Management Program and leading the Company’s efforts to mitigate technology risks in partnership with various business leaders in the organization. For the oversight qualifications of the CFO, refer to Item 10 of the FY25 10-K, filed with the SEC on February 12, 2026 (and lodged on the ASX on February 13, 2026). The Company has protocols, policies and resources to mitigate cybersecurity risk. They also provide the administrative, technical, and physical safeguards to ensure the security, confidentiality, integrity and availability of confidential information and personal information from unauthorized access, use, disclosure, alteration, destruction or theft. In addition, the Company engages its external auditor to assess our IT internal controls on an annual basis. </w:t>
      </w:r>
    </w:p>
    <w:p>
      <w:pPr>
        <w:pStyle w:val="TextBody"/>
        <w:bidi w:val="0"/>
        <w:jc w:val="left"/>
        <w:rPr/>
      </w:pPr>
      <w:r>
        <w:rPr/>
        <w:t> </w:t>
      </w:r>
    </w:p>
    <w:p>
      <w:pPr>
        <w:pStyle w:val="TextBody"/>
        <w:bidi w:val="0"/>
        <w:jc w:val="left"/>
        <w:rPr>
          <w:rFonts w:ascii="Times New Roman" w:hAnsi="Times New Roman"/>
          <w:b/>
          <w:color w:val="000000"/>
          <w:sz w:val="20"/>
        </w:rPr>
      </w:pPr>
      <w:bookmarkStart w:id="22" w:name="disclosure_of_boards_responsibility"/>
      <w:bookmarkEnd w:id="22"/>
      <w:r>
        <w:rPr>
          <w:rFonts w:ascii="Times New Roman" w:hAnsi="Times New Roman"/>
          <w:b/>
          <w:color w:val="000000"/>
          <w:sz w:val="20"/>
        </w:rPr>
        <w:t>Disclosure of the Board’s Responsibility</w:t>
      </w:r>
    </w:p>
    <w:p>
      <w:pPr>
        <w:pStyle w:val="TextBody"/>
        <w:bidi w:val="0"/>
        <w:jc w:val="left"/>
        <w:rPr>
          <w:rFonts w:ascii="Times New Roman" w:hAnsi="Times New Roman"/>
          <w:color w:val="000000"/>
          <w:sz w:val="20"/>
        </w:rPr>
      </w:pPr>
      <w:r>
        <w:rPr>
          <w:rFonts w:ascii="Times New Roman" w:hAnsi="Times New Roman"/>
          <w:color w:val="000000"/>
          <w:sz w:val="20"/>
        </w:rPr>
        <w:t>While management is responsible for assessing and managing cybersecurity risks on a day-to-day basis, the Company’s Board oversees management’s efforts to assess and manage risk. The Board (in conjunction particularly with the Audit Committee) monitors the cybersecurity risk assessment and response process. The Audit Committee annually reviews the adequacy and effectiveness of the Company’s information security policies and procedures related to information security and cybersecurity. This annual review includes discussions on topics such as: information security and technology risks, information risk management strategies, cybersecurity risk assessment processes, benchmarking and updates, and status on cybersecurity and data protection training initiatives for employees, among others.</w:t>
      </w:r>
    </w:p>
    <w:p>
      <w:pPr>
        <w:pStyle w:val="TextBody"/>
        <w:bidi w:val="0"/>
        <w:jc w:val="left"/>
        <w:rPr>
          <w:rFonts w:ascii="Times New Roman" w:hAnsi="Times New Roman"/>
          <w:color w:val="000000"/>
          <w:sz w:val="20"/>
        </w:rPr>
      </w:pPr>
      <w:r>
        <w:rPr>
          <w:rFonts w:ascii="Times New Roman" w:hAnsi="Times New Roman"/>
          <w:color w:val="000000"/>
          <w:sz w:val="20"/>
        </w:rPr>
        <w:t>For more information on the Company’s Cybersecurity Risk Management and Strategy, please see the FY25 10-K filed with the SEC on February 12, 2026 (and lodged on the ASX on February 13, 2026).</w:t>
      </w:r>
    </w:p>
    <w:p>
      <w:pPr>
        <w:pStyle w:val="TextBody"/>
        <w:bidi w:val="0"/>
        <w:jc w:val="left"/>
        <w:rPr/>
      </w:pPr>
      <w:r>
        <w:rPr/>
        <w:t> </w:t>
      </w:r>
    </w:p>
    <w:p>
      <w:pPr>
        <w:pStyle w:val="TextBody"/>
        <w:bidi w:val="0"/>
        <w:jc w:val="left"/>
        <w:rPr>
          <w:rFonts w:ascii="Times New Roman" w:hAnsi="Times New Roman"/>
          <w:sz w:val="20"/>
        </w:rPr>
      </w:pPr>
      <w:bookmarkStart w:id="23" w:name="stockholder_and_interested"/>
      <w:bookmarkEnd w:id="23"/>
      <w:r>
        <w:rPr>
          <w:rFonts w:ascii="Times New Roman" w:hAnsi="Times New Roman"/>
          <w:b/>
          <w:color w:val="000000"/>
          <w:sz w:val="20"/>
        </w:rPr>
        <w:t>Stockholder and Interested Party Communications with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may communicate with the Board, members of particular committees, or individual directors by sending a letter to such persons in care of the Company’s Corporate Secretary at its principal executive offices. The Corporate Secretary has the authority to disregard, or to take other appropriate actions with respect to, any inappropriate communications. If deemed an appropriate communication, the Corporate Secretary will submit the correspondence to the Chairman of the Board or to the committee or specific director to whom the correspondence is directed. Communications regarding the inclusion of proposals for stockholder vote in an annual meeting of the Company must comply with the Company’s Bylaws.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24" w:name="director_compensation"/>
      <w:bookmarkEnd w:id="24"/>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regarding the compensation earned by, or awarded to, each non-executive Director who served on the Company’s Board during the fiscal year ended December 31, 2025 (in U.S. dollars). The Company did not provide separate compensation to its executive director, James Corbett, who, while a member of the Board, served as the Company’s CEO during the fiscal year ended December 31, 2025. Mr. Corbett’s compensation for his services as CEO is provided in the executive compensation disclosures below.</w:t>
      </w:r>
    </w:p>
    <w:tbl>
      <w:tblPr>
        <w:tblW w:w="9556" w:type="dxa"/>
        <w:jc w:val="left"/>
        <w:tblInd w:w="0" w:type="dxa"/>
        <w:tblLayout w:type="fixed"/>
        <w:tblCellMar>
          <w:top w:w="28" w:type="dxa"/>
          <w:left w:w="28" w:type="dxa"/>
          <w:bottom w:w="28" w:type="dxa"/>
          <w:right w:w="28" w:type="dxa"/>
        </w:tblCellMar>
      </w:tblPr>
      <w:tblGrid>
        <w:gridCol w:w="3226"/>
        <w:gridCol w:w="146"/>
        <w:gridCol w:w="361"/>
        <w:gridCol w:w="1274"/>
        <w:gridCol w:w="146"/>
        <w:gridCol w:w="146"/>
        <w:gridCol w:w="265"/>
        <w:gridCol w:w="935"/>
        <w:gridCol w:w="146"/>
        <w:gridCol w:w="146"/>
        <w:gridCol w:w="310"/>
        <w:gridCol w:w="950"/>
        <w:gridCol w:w="146"/>
        <w:gridCol w:w="146"/>
        <w:gridCol w:w="196"/>
        <w:gridCol w:w="82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Fees earned in cash </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Stock awards </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br/>
              <w:t>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Non-Executive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 Stern Reed - Lead Independent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Professor Suzanne Crowe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Jeremy Curnock Cook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McNamara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Lou Panaccio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Dr. Michael Tarnoff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Cary Vance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Non-Executive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630,158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524,952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1,247,883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Annual amounts are composed of the following: $70,000 for fees as a Board Member, $35,000 for Lead Independent Director, $20,000 for Audit Committee Chair, $15,000 for Human Capital and Compensation Committee Chair, $10,000 for Nominating and Corporate Governance Chair, $10,000 for Audit Committee Member, $7,500 for Human Capital and Compensation Committee Member, and $5,000 for Nominating and Corporate Governance Member.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Amounts in this column represent the US$-value of grants of restricted stock units (“RSUs”) with the aggregate grant date fair value computed in accordance with FASB ASC Topic 718, the fair value amount determined at the date of grant in accordance with U.S. GAAP based on the closing price of our Common Stock on the grant date. These RSU grants vest 12 months following the grant date, subject to continued participation as Board members through such vesting date. As of December 31, 2025, Mr. McNamara and Mr. Vance each held 13,480 RSUs and Messrs. Cook, Crowe, Panaccio, and Reed each held 10,022 RSUs, respectively. Dr. Tarnoff did not hold any RSUs as of December 31, 2025.</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Amounts in this column represent grants of stock options with the aggregate grant date fair value computed in accordance with FASB ASC Topic 718. Amounts in this column represent option grants issued to the individuals noted, based on the fair value determined at the date of grant in accordance with U.S. GAAP. These option grants vest 12 months following the grant date, subject to continued participation as Board members. As of December 31, 2025, Ms. Reed held 23,754 options, Mr. McNamara and Mr. Vance each held 15,330 options, and Messrs. Cook, Crowe, and Panaccio each held 18,829 options, respectively. Dr. Tarnoff did not hold any options as of December 31, 2025.</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Dr. Tarnoff was appointed to the Board on August 6, 2025.</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Mr. Vance was appointed as our Interim CEO on October 16, 2025, and at such time, ceased serving on the Board as a non-executive Director; and accordingly, ceased receiving compensation for his service on our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Directors are elected by a plurality of votes cast at the Annual Meeting, which means that the seven director nominees receiving the highest number of “FOR” votes will be elected as directors of the Company. Abstentions and broker non-votes are not counted as votes cast with respect to each director, and therefore, will have no direct effect on the outcome of the election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proposal_no_2"/>
      <w:bookmarkEnd w:id="25"/>
      <w:r>
        <w:rPr>
          <w:rFonts w:ascii="Times New Roman" w:hAnsi="Times New Roman"/>
          <w:b/>
          <w:color w:val="000000"/>
          <w:sz w:val="20"/>
        </w:rPr>
        <w:t>Proposal 2</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RATIFICATION OF APPOINTMENT OF INDEPENDENT REGISTERED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PUBLIC ACCOUNTING FIRM</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on the recommendation of the Audit Committee, has appointed Grant Thornton LLP to serve as the Company’s independent registered public accounting firm for the fiscal year ending December 31,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previously approved the ratification of the appointment of Grant Thornton LLP to serve as the Company’s independent registered public accounting firm at the 2025 Annual Meeting for the fiscal year ended December 31, 2025. This proposal seeks stockholder approval for the ratification of the appointment of Grant Thornton LLP to serve as the Company’s independent registered public accounting firm for the fiscal year ending December 31, 2026.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recommends that you vote to ratify such appointment.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Representatives of Grant Thornton LLP are expected to be available at the Annual Meeting with the opportunity to make a statement if they desire to do so and will be available to respond to appropriate questions. </w:t>
      </w:r>
    </w:p>
    <w:p>
      <w:pPr>
        <w:pStyle w:val="TextBody"/>
        <w:bidi w:val="0"/>
        <w:jc w:val="left"/>
        <w:rPr/>
      </w:pPr>
      <w:r>
        <w:rPr/>
        <w:t> </w:t>
      </w:r>
    </w:p>
    <w:p>
      <w:pPr>
        <w:pStyle w:val="TextBody"/>
        <w:bidi w:val="0"/>
        <w:jc w:val="left"/>
        <w:rPr>
          <w:rFonts w:ascii="Times New Roman" w:hAnsi="Times New Roman"/>
          <w:sz w:val="20"/>
        </w:rPr>
      </w:pPr>
      <w:bookmarkStart w:id="26" w:name="fees"/>
      <w:bookmarkEnd w:id="26"/>
      <w:r>
        <w:rPr>
          <w:rFonts w:ascii="Times New Roman" w:hAnsi="Times New Roman"/>
          <w:b/>
          <w:color w:val="000000"/>
          <w:sz w:val="20"/>
        </w:rPr>
        <w:t>Audit and Other Fees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fees billed or accrued to us by Grant Thornton LLP, our independent registered public accounting firm, for services rendered for the years ended December 31, 2025 and 2024, are set forth in the table below: </w:t>
      </w:r>
    </w:p>
    <w:p>
      <w:pPr>
        <w:pStyle w:val="TextBody"/>
        <w:bidi w:val="0"/>
        <w:jc w:val="left"/>
        <w:rPr/>
      </w:pPr>
      <w:r>
        <w:rPr/>
        <w:t> </w:t>
      </w:r>
    </w:p>
    <w:tbl>
      <w:tblPr>
        <w:tblW w:w="5904" w:type="dxa"/>
        <w:jc w:val="left"/>
        <w:tblInd w:w="0" w:type="dxa"/>
        <w:tblLayout w:type="fixed"/>
        <w:tblCellMar>
          <w:top w:w="28" w:type="dxa"/>
          <w:left w:w="28" w:type="dxa"/>
          <w:bottom w:w="28" w:type="dxa"/>
          <w:right w:w="28" w:type="dxa"/>
        </w:tblCellMar>
      </w:tblPr>
      <w:tblGrid>
        <w:gridCol w:w="1871"/>
        <w:gridCol w:w="366"/>
        <w:gridCol w:w="1359"/>
        <w:gridCol w:w="146"/>
        <w:gridCol w:w="146"/>
        <w:gridCol w:w="366"/>
        <w:gridCol w:w="1359"/>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726,716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Audit-related fees </w:t>
            </w:r>
            <w:r>
              <w:rPr>
                <w:rFonts w:ascii="Times New Roman" w:hAnsi="Times New Roman"/>
                <w:color w:val="000000"/>
                <w:sz w:val="13"/>
              </w:rPr>
              <w:t>(2)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Tax fees </w:t>
            </w:r>
            <w:r>
              <w:rPr>
                <w:rFonts w:ascii="Times New Roman" w:hAnsi="Times New Roman"/>
                <w:color w:val="000000"/>
                <w:sz w:val="13"/>
              </w:rPr>
              <w:t>(3)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175,652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All other fees </w:t>
            </w:r>
            <w:r>
              <w:rPr>
                <w:rFonts w:ascii="Times New Roman" w:hAnsi="Times New Roman"/>
                <w:color w:val="000000"/>
                <w:sz w:val="13"/>
              </w:rPr>
              <w:t>(4)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fees</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Audit fees consist of fees for the professional services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Audit-related fees include services that are reasonably related to the performance of the audit or review of financial statements and are not included in “Audit fees.” There were no fees for such services during the relevant period.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Tax fees include the aggregate fees billed in each of the last two fiscal years for professional services rendered by the principal accountant for tax compliance, tax advice, and tax planning.</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There were no fees for this “all other fees” category during the relevant period.</w:t>
      </w:r>
    </w:p>
    <w:p>
      <w:pPr>
        <w:pStyle w:val="TextBody"/>
        <w:bidi w:val="0"/>
        <w:spacing w:before="60" w:after="283"/>
        <w:jc w:val="left"/>
        <w:rPr/>
      </w:pPr>
      <w:r>
        <w:rPr/>
        <w:t> </w:t>
      </w:r>
    </w:p>
    <w:p>
      <w:pPr>
        <w:pStyle w:val="TextBody"/>
        <w:bidi w:val="0"/>
        <w:jc w:val="left"/>
        <w:rPr>
          <w:rFonts w:ascii="Times New Roman" w:hAnsi="Times New Roman"/>
          <w:sz w:val="20"/>
        </w:rPr>
      </w:pPr>
      <w:bookmarkStart w:id="27" w:name="pre_approval_practice"/>
      <w:bookmarkEnd w:id="27"/>
      <w:r>
        <w:rPr>
          <w:rFonts w:ascii="Times New Roman" w:hAnsi="Times New Roman"/>
          <w:b/>
          <w:color w:val="000000"/>
          <w:sz w:val="20"/>
        </w:rPr>
        <w:t>Pre-Approval Practice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Committee’s policy is for the Audit Committee to approve all audit and non-audit services prior to such services being performed by the independent registered public accounting firm. Before engaging an independent registered public accounting firm to render audit or non-audit services, the engagement is approved by the Company’s Audit Committee or the engagement to render such services is entered into pursuant to pre-approval policies and procedures established by the Audit Committee. The Audit Committee pre-approved all audit services provided by independent registered public accountants during the years ended December 31, 2025 and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Ratification of the appointment of Grant Thornton LLP requires a number of “FOR” votes that is a majority of the voting power of the shares of Common Stock of the Company that are present in person or represented by proxy at the Annual Meeting and entitled to vote on this Proposal 2, with abstentions having the same effect as votes “AGAINST” this Proposal 2. A failure to instruct your broker on how to vote on such matter will have no effect on the vote on this Proposal 2. Further, we do not expect any broker non-votes with respect to this Proposal 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recommends a vote “FOR” the ratification of the appointment of Grant Thornton LLP.</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report_of_the_audit_committee"/>
      <w:bookmarkEnd w:id="28"/>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The Audit Committee assists the Company’s Board in its oversight of the Company’s financial reporting process. All six members of the Audit Committee qualify as independent directors under Nasdaq Listing Rules for public companies and the independence requirements of Rule 10A-3 promulgated under the Exchange Act, and the Board has determined that one member is qualified as an audit committee financial expert within the meaning of Item 407(d)(5) of Regulation S-K. All six members of the Audit Committee are also considered to be independent for the purposes of the 4</w:t>
      </w:r>
      <w:r>
        <w:rPr>
          <w:rFonts w:ascii="Times New Roman" w:hAnsi="Times New Roman"/>
          <w:color w:val="000000"/>
          <w:sz w:val="13"/>
        </w:rPr>
        <w:t>th</w:t>
      </w:r>
      <w:r>
        <w:rPr>
          <w:rFonts w:ascii="Times New Roman" w:hAnsi="Times New Roman"/>
          <w:color w:val="000000"/>
          <w:sz w:val="20"/>
        </w:rPr>
        <w:t xml:space="preserve"> Edition of the ASX Corporate Governance Principles. The Audit Committee’s charter can be viewed online on the Company’s website.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fulfilling its duties, the Audit Committee reviewed and discussed the audited financial statements contained in the Company’s Annual Report on Form 10-K for the year ended December 31, 2025 with management and the Company’s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met with the independent auditor with and without management present and discussed those matters required to be discussed by the applicable requirements of the Public Company Accounting Oversight Board (the “PCAOB”) and the SEC. The Audit Committee also received the independent auditor’s written disclosures and letter regarding its independence, in accordance with applicable PCAOB requirements, and reviewed such independence with the independent auditor.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above reviews and discussions, the Audit Committee recommended to the Board, and the Board approved, that the audited financial statements be included in the Company’s Form 10-K for the year ended December 31, 2025, for filing with the SEC.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Submitted by the Audit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Robert McNamara, Chair of the Audit Committee </w:t>
      </w:r>
    </w:p>
    <w:p>
      <w:pPr>
        <w:pStyle w:val="TextBody"/>
        <w:bidi w:val="0"/>
        <w:jc w:val="left"/>
        <w:rPr>
          <w:rFonts w:ascii="Times New Roman" w:hAnsi="Times New Roman"/>
          <w:color w:val="000000"/>
          <w:sz w:val="20"/>
        </w:rPr>
      </w:pPr>
      <w:r>
        <w:rPr>
          <w:rFonts w:ascii="Times New Roman" w:hAnsi="Times New Roman"/>
          <w:color w:val="000000"/>
          <w:sz w:val="20"/>
        </w:rPr>
        <w:t>Prof. Suzanne Crowe</w:t>
      </w:r>
    </w:p>
    <w:p>
      <w:pPr>
        <w:pStyle w:val="TextBody"/>
        <w:bidi w:val="0"/>
        <w:jc w:val="left"/>
        <w:rPr>
          <w:rFonts w:ascii="Times New Roman" w:hAnsi="Times New Roman"/>
          <w:color w:val="000000"/>
          <w:sz w:val="20"/>
        </w:rPr>
      </w:pPr>
      <w:r>
        <w:rPr>
          <w:rFonts w:ascii="Times New Roman" w:hAnsi="Times New Roman"/>
          <w:color w:val="000000"/>
          <w:sz w:val="20"/>
        </w:rPr>
        <w:t xml:space="preserve">Jeremy Curnock Cook </w:t>
      </w:r>
    </w:p>
    <w:p>
      <w:pPr>
        <w:pStyle w:val="TextBody"/>
        <w:bidi w:val="0"/>
        <w:jc w:val="left"/>
        <w:rPr>
          <w:rFonts w:ascii="Times New Roman" w:hAnsi="Times New Roman"/>
          <w:color w:val="000000"/>
          <w:sz w:val="20"/>
        </w:rPr>
      </w:pPr>
      <w:r>
        <w:rPr>
          <w:rFonts w:ascii="Times New Roman" w:hAnsi="Times New Roman"/>
          <w:color w:val="000000"/>
          <w:sz w:val="20"/>
        </w:rPr>
        <w:t xml:space="preserve">Jan Stern Reed </w:t>
      </w:r>
    </w:p>
    <w:p>
      <w:pPr>
        <w:pStyle w:val="TextBody"/>
        <w:bidi w:val="0"/>
        <w:jc w:val="left"/>
        <w:rPr>
          <w:rFonts w:ascii="Times New Roman" w:hAnsi="Times New Roman"/>
          <w:color w:val="000000"/>
          <w:sz w:val="20"/>
        </w:rPr>
      </w:pPr>
      <w:r>
        <w:rPr>
          <w:rFonts w:ascii="Times New Roman" w:hAnsi="Times New Roman"/>
          <w:color w:val="000000"/>
          <w:sz w:val="20"/>
        </w:rPr>
        <w:t>Dr. Michael Tarnoff</w:t>
      </w:r>
    </w:p>
    <w:p>
      <w:pPr>
        <w:pStyle w:val="TextBody"/>
        <w:bidi w:val="0"/>
        <w:jc w:val="left"/>
        <w:rPr>
          <w:rFonts w:ascii="Times New Roman" w:hAnsi="Times New Roman"/>
          <w:color w:val="000000"/>
          <w:sz w:val="20"/>
        </w:rPr>
      </w:pPr>
      <w:r>
        <w:rPr>
          <w:rFonts w:ascii="Times New Roman" w:hAnsi="Times New Roman"/>
          <w:color w:val="000000"/>
          <w:sz w:val="20"/>
        </w:rPr>
        <w:t>Joseph Woody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Date: April 22,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9" w:name="security_ownership_of_certain"/>
      <w:bookmarkEnd w:id="29"/>
      <w:r>
        <w:rPr>
          <w:rFonts w:ascii="Times New Roman" w:hAnsi="Times New Roman"/>
          <w:b/>
          <w:color w:val="000000"/>
          <w:sz w:val="20"/>
        </w:rPr>
        <w:t>CERTAIN INFORMATION ABOUT OUR COMMON STOCK</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following table provides certain information regarding the ownership of the Company’s Common Stock (including CDIs), as of the Record Date (April 9, 2026), including the right to acquire Common Stock within 60 days of that Record Date, by each person or group of affiliated persons known to us to be the beneficial owner of more than 5% of the Company’s Common Stock (including Common Stock represented by CDIs); each of the Company’s named executive officers; each of its Directors; and all of its executive officers and Directors as a group. The table also sets out the names of all persons (of which the Company is aware) who have disclosed pursuant to the Australian </w:t>
      </w:r>
      <w:r>
        <w:rPr>
          <w:rFonts w:ascii="Times New Roman" w:hAnsi="Times New Roman"/>
          <w:i/>
          <w:color w:val="000000"/>
          <w:sz w:val="20"/>
        </w:rPr>
        <w:t xml:space="preserve">Corporations Act 2001 </w:t>
      </w:r>
      <w:r>
        <w:rPr>
          <w:rFonts w:ascii="Times New Roman" w:hAnsi="Times New Roman"/>
          <w:color w:val="000000"/>
          <w:sz w:val="20"/>
        </w:rPr>
        <w:t xml:space="preserve">(Cth) that they are substantial stockholders of the Company and carry 5% or more of the voting rights attached to the issued securities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Unless otherwise indicated in the table or the related notes, the address for each person named in the table is c/o AVITA Medical, Inc., 28159 Avenue Stanford, Suite 220, Valencia, CA 91355.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8"/>
        <w:gridCol w:w="3652"/>
        <w:gridCol w:w="497"/>
        <w:gridCol w:w="2370"/>
        <w:gridCol w:w="146"/>
        <w:gridCol w:w="146"/>
        <w:gridCol w:w="297"/>
        <w:gridCol w:w="146"/>
        <w:gridCol w:w="1563"/>
      </w:tblGrid>
      <w:tr>
        <w:trPr/>
        <w:tc>
          <w:tcPr>
            <w:tcW w:w="1388" w:type="dxa"/>
            <w:tcBorders/>
            <w:vAlign w:val="center"/>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Title of Class</w:t>
            </w:r>
          </w:p>
        </w:tc>
        <w:tc>
          <w:tcPr>
            <w:tcW w:w="36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Name and Address of Beneficial Owner</w:t>
            </w:r>
          </w:p>
        </w:tc>
        <w:tc>
          <w:tcPr>
            <w:tcW w:w="2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Amount and Nature of Beneficial Ownership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Percentage of Class </w:t>
            </w:r>
            <w:r>
              <w:rPr>
                <w:rFonts w:ascii="Times New Roman" w:hAnsi="Times New Roman"/>
                <w:b/>
                <w:color w:val="000000"/>
                <w:sz w:val="12"/>
              </w:rPr>
              <w:t>(2)</w:t>
            </w:r>
          </w:p>
        </w:tc>
      </w:tr>
      <w:tr>
        <w:trPr/>
        <w:tc>
          <w:tcPr>
            <w:tcW w:w="13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6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8"/>
              </w:rPr>
            </w:pPr>
            <w:r>
              <w:rPr>
                <w:rFonts w:ascii="Times New Roman" w:hAnsi="Times New Roman"/>
                <w:b/>
                <w:i/>
                <w:color w:val="000000"/>
                <w:sz w:val="18"/>
              </w:rPr>
              <w:t>Directors and named executive officers:</w:t>
            </w:r>
          </w:p>
        </w:tc>
        <w:tc>
          <w:tcPr>
            <w:tcW w:w="286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6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Jan Stern Reed</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6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Professor Suzanne Crowe</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6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Jeremy Curnock Cook</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6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Robert McNamara</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6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Dr. Michael Tarnoff</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6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Joseph Woody</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6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Cary Vance</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6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David O'Toole</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6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Nicole Kelsey</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6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All executive officers and directors as a group (9 persons)</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690,889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2.24%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Represents beneficial ownership of less than 1% of the outstanding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otherwise indicated, we believe that the beneficial owners of the Common Stock (including Common Stock represented by CDIs) listed above, based on information furnished by such owners, have sole investment and voting power with respect to such shares, subject to community property laws where applicable. Beneficial ownership is determined in accordance with applicable U.S. securities laws and generally takes into consideration voting and/or investment power with respect to such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Percentage of ownership is based on 30,776,689 shares of our Common Stock issued and outstanding as of the Record Date (April 9, 2026) (including Common Stock represented by CDIs). Common Stock subject to RSUs that vest, or options that are exercisable, within 60 days of the Record Date are deemed outstanding for purposes of computing the percentage ownership of the person holding such RSUs or options, but are not deemed outstanding for purposes of computing the percentage ownership of any other person.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51,011 shares of Common Stock, as well as 23,754 stock options to acquire shares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42,336 shares of Common Stock and 22,990 CDIs (representing 4,598 shares of our Common Stock), as well as 18,829 stock options to acquire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39,836 shares of Common Stock, as well as 18,829 stock options to acquire shares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83,313 shares of Common Stock, as well as 13,848 stock options and 3,458 RSUs to acquire a total of 17,306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32,313 shares of Common Stock, as well as 13,848 stock options and 3,458 RSUs to acquire a total of 17,306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36,457 shares of Common Stock, as well as 233,334 stock options to acquire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71,667 stock options to acquire shares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0" w:name="executive_officers"/>
      <w:bookmarkEnd w:id="30"/>
      <w:r>
        <w:rPr>
          <w:rFonts w:ascii="Times New Roman" w:hAnsi="Times New Roman"/>
          <w:b/>
          <w:caps/>
          <w:color w:val="000000"/>
          <w:sz w:val="20"/>
        </w:rPr>
        <w:t>Executive Officers</w:t>
      </w:r>
      <w:r>
        <w:rPr>
          <w:rFonts w:ascii="Times New Roman" w:hAnsi="Times New Roman"/>
          <w:caps/>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regarding our executive officers:</w:t>
      </w:r>
    </w:p>
    <w:p>
      <w:pPr>
        <w:pStyle w:val="TextBody"/>
        <w:bidi w:val="0"/>
        <w:jc w:val="left"/>
        <w:rPr/>
      </w:pPr>
      <w:r>
        <w:rPr/>
        <w:t> </w:t>
      </w:r>
    </w:p>
    <w:tbl>
      <w:tblPr>
        <w:tblW w:w="9427" w:type="dxa"/>
        <w:jc w:val="left"/>
        <w:tblInd w:w="0" w:type="dxa"/>
        <w:tblLayout w:type="fixed"/>
        <w:tblCellMar>
          <w:top w:w="28" w:type="dxa"/>
          <w:left w:w="28" w:type="dxa"/>
          <w:bottom w:w="28" w:type="dxa"/>
          <w:right w:w="28" w:type="dxa"/>
        </w:tblCellMar>
      </w:tblPr>
      <w:tblGrid>
        <w:gridCol w:w="1406"/>
        <w:gridCol w:w="246"/>
        <w:gridCol w:w="436"/>
        <w:gridCol w:w="146"/>
        <w:gridCol w:w="5041"/>
        <w:gridCol w:w="146"/>
        <w:gridCol w:w="2006"/>
      </w:tblGrid>
      <w:tr>
        <w:trPr/>
        <w:tc>
          <w:tcPr>
            <w:tcW w:w="1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r>
      <w:tr>
        <w:trPr/>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Date First Appointed</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Cary Vance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October 2025</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David O'Toole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June 2023</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Nicole Kelsey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and Compliance Officer and Corporate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2024</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Cary Vance</w:t>
      </w:r>
      <w:r>
        <w:rPr>
          <w:rFonts w:ascii="Times New Roman" w:hAnsi="Times New Roman"/>
          <w:color w:val="000000"/>
          <w:sz w:val="20"/>
        </w:rPr>
        <w:t xml:space="preserve"> is discussed above in the “Professional Experience” section of </w:t>
      </w:r>
      <w:r>
        <w:rPr>
          <w:rFonts w:ascii="Times New Roman" w:hAnsi="Times New Roman"/>
          <w:b/>
          <w:color w:val="000000"/>
          <w:sz w:val="20"/>
        </w:rPr>
        <w:t>Proposal 1</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David O'Toole</w:t>
      </w:r>
      <w:r>
        <w:rPr>
          <w:rFonts w:ascii="Times New Roman" w:hAnsi="Times New Roman"/>
          <w:color w:val="000000"/>
          <w:sz w:val="20"/>
        </w:rPr>
        <w:t xml:space="preserve"> is an accomplished financial executive with extensive experience in both public company operations and capital markets and has served as AVITA Medical’s Chief Financial Officer since June 2023. Prior to joining the Company, Mr. O’Toole served as CFO of Opiant Pharmaceuticals, a biopharmaceutical company developing treatments for addiction and drug overdose, which was acquired by Indivior in March 2023. Prior to that, he served as CFO of Soleno Therapeutics, a company focused on the development and commercialization of novel therapeutics for the treatment of rare diseases. Prior to Soleno, Mr. O’Toole held the role of CFO for three publicly traded life sciences companies where he built and led high-performance teams. Prior to his CFO experience, he spent over 24 years in public accounting, including 16 years with Deloitte &amp; Touche. He holds a Bachelor of Science in accounting from the University of Arizona and is a Certified Public Accountant (non-active).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Nicole Kelsey</w:t>
      </w:r>
      <w:r>
        <w:rPr>
          <w:rFonts w:ascii="Times New Roman" w:hAnsi="Times New Roman"/>
          <w:color w:val="000000"/>
          <w:sz w:val="20"/>
        </w:rPr>
        <w:t xml:space="preserve"> has served as Chief Legal and Compliance Officer and Corporate Secretary since July 2024, and as Interim SVP, Human Resources since November 2025. Ms. Kelsey has over 25 years of executive legal experience with expertise in M&amp;A, securities, corporate governance, and compliance. Ms. Kelsey previously served as Chief Legal Officer and Secretary for Amyris, Inc., a biotech company, and as General Counsel and Secretary of Criteo, a leader in commerce marketing based in Paris with global operations. Prior to joining Criteo, Ms. Kelsey was the senior securities lawyer for Medtronic, a global leader in healthcare technology; she served as head M&amp;A attorney for CIT Group, Inc.; she was the general counsel and chief compliance officer of a specialty art financing firm; and she served as the senior corporate attorney for the international conglomerate Vivendi. Before going in-house, Ms. Kelsey practiced with the law firms of White &amp; Case and Willkie, Farr &amp; Gallagher, in Paris and New York. A Fulbright scholar, Ms. Kelsey holds a Juris Doctor degree from the Northwestern University Pritzker School of Law and a Bachelor of Arts degree in Political Science and International Studies from The Ohio State University, and is admitted to practice law in New York and Minnesota.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1" w:name="executive_compensation"/>
      <w:bookmarkEnd w:id="31"/>
      <w:r>
        <w:rPr>
          <w:rFonts w:ascii="Times New Roman" w:hAnsi="Times New Roman"/>
          <w:b/>
          <w:caps/>
          <w:color w:val="000000"/>
          <w:sz w:val="20"/>
        </w:rPr>
        <w:t>Executive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section discusses the material components of the executive compensation program for the individuals listed in the “Summary Compensation Table” below. For 2025, our named executive officers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Cary Vance, our Interim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David O'Toole, our Chief Financial Officer;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Nicole Kelsey, our Chief Legal and Compliance Officer and Corporate Secretary, and our Interim SVP, Human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James Corbett, our former Chief Executive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October 16, 2025, Mr. Corbett departed from his role as Chief Executive Officer, and in connection with such departure, Mr. Vance was appointed as our Interim Chief Executive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this section provides an overview of our executive compensation program and each compensation component that we provide. This discussion may contain forward-looking statements that are based on our current plans, considerations, expectations and determinations regarding future compensation programs. Actual compensation programs that we adopt following the date of this Proxy Statement may differ materially from the currently planned programs summarized in this discussion.</w:t>
      </w:r>
    </w:p>
    <w:p>
      <w:pPr>
        <w:pStyle w:val="TextBody"/>
        <w:bidi w:val="0"/>
        <w:jc w:val="left"/>
        <w:rPr/>
      </w:pPr>
      <w:r>
        <w:rPr/>
        <w:t> </w:t>
      </w:r>
    </w:p>
    <w:p>
      <w:pPr>
        <w:pStyle w:val="TextBody"/>
        <w:bidi w:val="0"/>
        <w:jc w:val="left"/>
        <w:rPr>
          <w:rFonts w:ascii="Times New Roman" w:hAnsi="Times New Roman"/>
          <w:sz w:val="20"/>
        </w:rPr>
      </w:pPr>
      <w:bookmarkStart w:id="32" w:name="compensation_principles"/>
      <w:bookmarkEnd w:id="32"/>
      <w:r>
        <w:rPr>
          <w:rFonts w:ascii="Times New Roman" w:hAnsi="Times New Roman"/>
          <w:b/>
          <w:color w:val="000000"/>
          <w:sz w:val="20"/>
        </w:rPr>
        <w:t>Compensation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Human Capital and Compensation Committee is governed by a Human Capital and Compensation Committee Charter (the “Charter”) which it reviews, and updates as necessary, on an annual basis. The Charter outlines responsibilities of the members, which include the following: reviewing the Company’s overall compensation policies and practices; reviewing, and recommending for Board approval, the annual compensation for the Board; reviewing, and recommending for Board approval, the executive compensation program for the Company’s executive leadership team, including the CEO; and reviewing, and recommending for Board approval, the Company’s independent compensation consultant on an annual basis.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Human Capital and Compensation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review of benchmarking data and recommendations provided by the Board’s independent compensation consultant, Compensia, the Human Capital and Compensation Committee reviews compensation for the Board, and makes recommendations regarding the same for Board approval, on an annual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Human Capital and Compensation Committee also reviews, and recommends for Board approval, the compensation for the Company’s executive leadership team, including the CEO, based on industry benchmarking data and guidance provided by Compensia, as follows: (a) the compensation of the CEO; and (b) based on the performance evaluations of, and suggested compensation recommendations for, each member of the Company’s executive leadership team provided by the CEO, the compensation (base salary, cash bonus, and equity incentive award) of the members of the Company’s executive leadership team, as necessary and no less than annually.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the Human Capital and Compensation Committee, with input from the CEO, reviews, and recommends for Board approval, the establishment of the Company’s annual performance targets.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Finally, the Human Capital and Compensation Committee, with input from both the CEO and Compensia, reviews and recommends for Board approval, the annual merit increase and bonus pool for the Company’s employees.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Human Capital and Compensation Committee undertakes its review of the compensation of each of the Board and the Company’s executive leadership team (including the compensation of the CEO) with the objective to align such compensation with the Company’s short- and long-term goals in order to ensure maximum stockholder benefit from the recruitment and retention of both a high-quality Board and executive leadership team.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Consideration of Say-on-Pay Vote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our 2025 annual meeting of stockholders, approximately 77% of the votes cast by our stockholders approved, on an advisory (non-binding) basis, the compensation of our named executive officers, which we believe affirms our stockholders' support for our executive compensation program. Accordingly, our Human Capital and Compensation Committee did not make any changes to our executive compensation program as a result of the say-on-pay vote. We currently expect our next say-on-pay vote (following the vote on Proposal 13 at this annual meeting) will be held at our 2027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3" w:name="summary_compensation_table"/>
      <w:bookmarkEnd w:id="33"/>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information regarding the compensation paid to, or earned by, our named executive officers, Mr. Vance, Mr. O'Toole, Ms. Kelsey and Mr. Corbett, for the fiscal years ended December 31, 2025 and 2024.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5"/>
        <w:gridCol w:w="146"/>
        <w:gridCol w:w="481"/>
        <w:gridCol w:w="146"/>
        <w:gridCol w:w="146"/>
        <w:gridCol w:w="691"/>
        <w:gridCol w:w="146"/>
        <w:gridCol w:w="146"/>
        <w:gridCol w:w="147"/>
        <w:gridCol w:w="696"/>
        <w:gridCol w:w="146"/>
        <w:gridCol w:w="146"/>
        <w:gridCol w:w="176"/>
        <w:gridCol w:w="997"/>
        <w:gridCol w:w="146"/>
        <w:gridCol w:w="146"/>
        <w:gridCol w:w="274"/>
        <w:gridCol w:w="1306"/>
        <w:gridCol w:w="146"/>
        <w:gridCol w:w="336"/>
        <w:gridCol w:w="146"/>
        <w:gridCol w:w="826"/>
        <w:gridCol w:w="194"/>
      </w:tblGrid>
      <w:tr>
        <w:trPr/>
        <w:tc>
          <w:tcPr>
            <w:tcW w:w="2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Bonus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Compensation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Cary Vance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278,053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Interim Chief Executive Officer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1,532,265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1,777,528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Nicole Kelsey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957,427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Legal and Compliance Officer, and Interim SVP, Human Resources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1,288,190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1,407,715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Former Chief Executive Officer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2,080,166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3,243,885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 xml:space="preserve">Amounts in this column represent the annual bonuses paid to our named executive officers for the applicable year. </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Amounts in this column represent awards of stock options with the aggregate grant date fair value computed in accordance with ASC 718. Amounts in this column represent option awards issued to the individuals noted, based on the fair value determined at the date of grant in accordance with U.S. GAAP. See Note 14, Share-Based Payment Plans to our Consolidated Financial Statements included in Part II, Item 8. “Financial Statements and Supplementary Data” for the assumptions used in determining the grant date fair value of option awards. The vesting of these option awards are subject to tenure related criteria.</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Amounts in this column represent all other compensation for the covered fiscal year including the non-qualified deferred compensation employer match, 401(k) match, and fringe benefits such as commuting, accommodations and medical benefits, along with related taxes on grossed-up fringe benefits. </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Amounts primarily relate to $29,415 of non-qualified deferred compensation employer match and $20,700 of the Company’s 401(k) employer match contribution.</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(5)</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Amounts primarily relate to $27,550 of non-qualified deferred compensation employer match and $21,000 of the Company’s 401(k) employer match contribution.</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(6)</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Amounts primarily relate to relocation assistance.</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(7)</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Amounts primarily relate to $117,000 in severance payments, $53,595 in vacation buy-out and $25,445 in the Company’s 401(k) employer match contribution and group term life insurance premiums.</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(8)</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Mr. Vance was appointed to the position of Interim Chief Executive Officer by the Board on October 16, 2025.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Mr. Corbett served as the Company’s Chief Executive Officer from January 1 through October 15, 2025.</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Narrative Disclosure to Summary Compensation Table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Annual Base Salary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Board, upon recommendations from the Human Capital and Compensation Committee, reviews our named executive officers’ base salaries annually and may make adjustments based on its review and consideration of market data provided by its independent compensation consultant, Compensia. In January 2025, our Board approved merit salary increases, effective as of February 2025, for each of our named executive officers as follows:</w:t>
      </w:r>
    </w:p>
    <w:p>
      <w:pPr>
        <w:pStyle w:val="TextBody"/>
        <w:bidi w:val="0"/>
        <w:jc w:val="left"/>
        <w:rPr/>
      </w:pPr>
      <w:r>
        <w:rPr/>
        <w:t> </w:t>
      </w:r>
    </w:p>
    <w:tbl>
      <w:tblPr>
        <w:tblW w:w="7156" w:type="dxa"/>
        <w:jc w:val="left"/>
        <w:tblInd w:w="0" w:type="dxa"/>
        <w:tblLayout w:type="fixed"/>
        <w:tblCellMar>
          <w:top w:w="28" w:type="dxa"/>
          <w:left w:w="28" w:type="dxa"/>
          <w:bottom w:w="28" w:type="dxa"/>
          <w:right w:w="28" w:type="dxa"/>
        </w:tblCellMar>
      </w:tblPr>
      <w:tblGrid>
        <w:gridCol w:w="3781"/>
        <w:gridCol w:w="109"/>
        <w:gridCol w:w="192"/>
        <w:gridCol w:w="1218"/>
        <w:gridCol w:w="146"/>
        <w:gridCol w:w="146"/>
        <w:gridCol w:w="246"/>
        <w:gridCol w:w="1164"/>
        <w:gridCol w:w="154"/>
      </w:tblGrid>
      <w:tr>
        <w:trPr/>
        <w:tc>
          <w:tcPr>
            <w:tcW w:w="3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Executive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Base Salary</w:t>
              <w:b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 former Chief Executive Officer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702,000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 Chief Financial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493,000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Nicole Kelsey, Chief Legal and Compliance Officer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459,000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Annual Incentive Bonuses</w:t>
      </w:r>
      <w:r>
        <w:rPr>
          <w:rFonts w:ascii="Times New Roman" w:hAnsi="Times New Roman"/>
          <w:b/>
          <w:i/>
          <w:color w:val="000000"/>
          <w:sz w:val="20"/>
        </w:rPr>
        <w:br/>
        <w:br/>
      </w:r>
      <w:r>
        <w:rPr>
          <w:rFonts w:ascii="Times New Roman" w:hAnsi="Times New Roman"/>
          <w:color w:val="000000"/>
          <w:sz w:val="20"/>
        </w:rPr>
        <w:t>Monetary incentive bonuses are generally paid annually and are designed to reward our executive officers based on the performance of the Company and their individual results. The target incentive bonus amount and the performance measures and targets for each executive officer are established in accordance with our Company’s annual bonus compensation practices. At the beginning of each fiscal year for which such bonus is paid, the Human Capital and Compensation Committee, in its discretion, considers our CEO’s recommendations, together with recommendations from Compensia, and independently reviews and recommends the total percentage achievement level for each member of the Company’s executive leadership team to the Board for review and approval.</w:t>
        <w:br/>
        <w:br/>
        <w:t>The performance measures and targets for receiving the annual incentive bonus are intended to be measurable and quantifiable, and may include (but are not limited to) objectives such as (i) the Company meeting annual commercial revenue targets and achieving certain profitability levels, new product launch targets, and clinical testing goals, together with specific operational goals; and (ii) individual key performance indicators, determined for each member of the executive leadership team, according to each executive leader’s position. The annual incentive bonuses are intended to encourage the named executive officers to promote the sustainable growth and long-term success of the Company’s business. The actual amounts paid to our named executive officers with respect to their 2025 annual incentive bonuses are set forth in the Summary Compensation Table above.</w:t>
      </w:r>
    </w:p>
    <w:p>
      <w:pPr>
        <w:pStyle w:val="TextBody"/>
        <w:bidi w:val="0"/>
        <w:jc w:val="left"/>
        <w:rPr/>
      </w:pPr>
      <w:r>
        <w:rPr/>
        <w:t> </w:t>
      </w:r>
    </w:p>
    <w:p>
      <w:pPr>
        <w:pStyle w:val="TextBody"/>
        <w:bidi w:val="0"/>
        <w:jc w:val="left"/>
        <w:rPr>
          <w:rFonts w:ascii="Times New Roman" w:hAnsi="Times New Roman"/>
          <w:sz w:val="20"/>
        </w:rPr>
      </w:pPr>
      <w:bookmarkStart w:id="34" w:name="outstanding_equity_awards"/>
      <w:bookmarkEnd w:id="34"/>
      <w:r>
        <w:rPr>
          <w:rFonts w:ascii="Times New Roman" w:hAnsi="Times New Roman"/>
          <w:b/>
          <w:color w:val="000000"/>
          <w:sz w:val="20"/>
        </w:rPr>
        <w:t>Outstanding Equity Awards at Fiscal Year End</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information regarding outstanding equity awards held by the Company’s named executive officers, as of December 31, 2025. </w:t>
      </w:r>
    </w:p>
    <w:tbl>
      <w:tblPr>
        <w:tblW w:w="10205" w:type="dxa"/>
        <w:jc w:val="left"/>
        <w:tblInd w:w="0" w:type="dxa"/>
        <w:tblLayout w:type="fixed"/>
        <w:tblCellMar>
          <w:top w:w="28" w:type="dxa"/>
          <w:left w:w="28" w:type="dxa"/>
          <w:bottom w:w="28" w:type="dxa"/>
          <w:right w:w="28" w:type="dxa"/>
        </w:tblCellMar>
      </w:tblPr>
      <w:tblGrid>
        <w:gridCol w:w="3540"/>
        <w:gridCol w:w="1006"/>
        <w:gridCol w:w="1041"/>
        <w:gridCol w:w="363"/>
        <w:gridCol w:w="726"/>
        <w:gridCol w:w="146"/>
        <w:gridCol w:w="909"/>
        <w:gridCol w:w="146"/>
        <w:gridCol w:w="1139"/>
        <w:gridCol w:w="1189"/>
      </w:tblGrid>
      <w:tr>
        <w:trPr/>
        <w:tc>
          <w:tcPr>
            <w:tcW w:w="35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awards</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 xml:space="preserve">options </w:t>
              <w:br/>
              <w:t>exercisable</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securities </w:t>
              <w:br/>
              <w:t>underlying</w:t>
              <w:br/>
              <w:t xml:space="preserve">unexercised </w:t>
              <w:br/>
              <w:t>unearned</w:t>
              <w:br/>
              <w:t>options</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 xml:space="preserve">exercise </w:t>
              <w:b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expiration</w:t>
              <w:b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unearned </w:t>
              <w:br/>
              <w:t>shares, units</w:t>
              <w:br/>
              <w:t>or other rights</w:t>
              <w:br/>
              <w:t>have not</w:t>
              <w:br/>
              <w:t>vested</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Market or</w:t>
              <w:br/>
              <w:t>payout value</w:t>
              <w:br/>
              <w:t>of unearned</w:t>
              <w:br/>
              <w:t>shares, units</w:t>
              <w:br/>
              <w:t>or other rights</w:t>
              <w:br/>
              <w:t>have not</w:t>
              <w:br/>
              <w:t>vested ($)</w:t>
              <w:br/>
              <w:t> (1)</w:t>
            </w:r>
          </w:p>
        </w:tc>
      </w:tr>
      <w:tr>
        <w:trPr/>
        <w:tc>
          <w:tcPr>
            <w:tcW w:w="3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Cary Vance, Interim Chief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4,295</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rPr>
              <w:t xml:space="preserve">13,480 </w:t>
            </w:r>
            <w:r>
              <w:rPr>
                <w:rFonts w:ascii="Times New Roman" w:hAnsi="Times New Roman"/>
                <w:color w:val="000000"/>
                <w:sz w:val="12"/>
              </w:rPr>
              <w:t>(9)</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$46,506</w:t>
            </w:r>
          </w:p>
        </w:tc>
      </w:tr>
      <w:tr>
        <w:trPr/>
        <w:tc>
          <w:tcPr>
            <w:tcW w:w="3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Officer</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5,610</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David O'Toole, Chief Financial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Officer</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41,667</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83,333</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(5)</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(6)</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Nicole Kelsey, Chief Legal and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65,000</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Compliance Officer, and Interim SVP, Human Resources</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(7)</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 Former Chief</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173,334</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Officer</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116,667</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116,667</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66,667</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169,722</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7,475</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in this column are calculated by multiplying the closing market price of the Company’s stock of $3.45 as of December 31, 2025 by the number of shares or units of stock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Vests in three equal annual installments beginning on January 21, 2026, subject to continued service on the applicable vesting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Vests in three equal annual installments beginning on June 5, 2025, subject to continued service on the applicable vesting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Vests in three equal annual installments beginning on June 6, 2024, subject to continued service on the applicable vesting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Vests in three equal annual installments beginning on January 3, 2025, subject to continued service on the applicable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Vests in three equal annual installments beginning on June 15, 2024, subject to continued service on the applicable vesting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Vests in three equal annual installments beginning on July 1, 2025, subject to continued service on the applicable vesting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Per the terms of Mr. Corbett’s severance agreement, these options vested on January 3, 2026 and January 21,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RSUs granted for Cary Vance’s service as a non-executive Director, of which 10,022 vest on January 21, 2026 and 3,458 vest on June 6, 2026.</w:t>
      </w:r>
    </w:p>
    <w:p>
      <w:pPr>
        <w:pStyle w:val="TextBody"/>
        <w:bidi w:val="0"/>
        <w:jc w:val="left"/>
        <w:rPr/>
      </w:pPr>
      <w:r>
        <w:rPr/>
        <w:t> </w:t>
      </w:r>
    </w:p>
    <w:p>
      <w:pPr>
        <w:pStyle w:val="TextBody"/>
        <w:bidi w:val="0"/>
        <w:jc w:val="left"/>
        <w:rPr>
          <w:rFonts w:ascii="Times New Roman" w:hAnsi="Times New Roman"/>
          <w:i/>
          <w:color w:val="212121"/>
          <w:sz w:val="20"/>
        </w:rPr>
      </w:pPr>
      <w:r>
        <w:rPr>
          <w:rFonts w:ascii="Times New Roman" w:hAnsi="Times New Roman"/>
          <w:i/>
          <w:color w:val="212121"/>
          <w:sz w:val="20"/>
        </w:rPr>
        <w:t>Equity-Based Incentive Awards</w:t>
      </w:r>
    </w:p>
    <w:p>
      <w:pPr>
        <w:pStyle w:val="TextBody"/>
        <w:bidi w:val="0"/>
        <w:jc w:val="left"/>
        <w:rPr/>
      </w:pPr>
      <w:r>
        <w:rPr/>
        <w:t> </w:t>
      </w:r>
    </w:p>
    <w:p>
      <w:pPr>
        <w:pStyle w:val="TextBody"/>
        <w:bidi w:val="0"/>
        <w:jc w:val="left"/>
        <w:rPr>
          <w:rFonts w:ascii="Times New Roman" w:hAnsi="Times New Roman"/>
          <w:color w:val="212121"/>
          <w:sz w:val="20"/>
        </w:rPr>
      </w:pPr>
      <w:r>
        <w:rPr>
          <w:rFonts w:ascii="Times New Roman" w:hAnsi="Times New Roman"/>
          <w:color w:val="212121"/>
          <w:sz w:val="20"/>
        </w:rPr>
        <w:t>Our equity-based incentive awards are designed to align our interests and the interests of our stockholders with those of our employees and consultants, including our named executive officers. Our Board, upon recommendation by the Human Capital and Compensation Committee, approves these equity grants. We grant equity awards under our 2020 Omnibus Incentive Plan Amended and Restated (the “Incentive Plan”).</w:t>
      </w:r>
    </w:p>
    <w:p>
      <w:pPr>
        <w:pStyle w:val="TextBody"/>
        <w:bidi w:val="0"/>
        <w:jc w:val="left"/>
        <w:rPr/>
      </w:pPr>
      <w:r>
        <w:rPr/>
        <w:t> </w:t>
      </w:r>
    </w:p>
    <w:p>
      <w:pPr>
        <w:pStyle w:val="TextBody"/>
        <w:bidi w:val="0"/>
        <w:jc w:val="left"/>
        <w:rPr>
          <w:rFonts w:ascii="Times New Roman" w:hAnsi="Times New Roman"/>
          <w:color w:val="212121"/>
          <w:sz w:val="20"/>
        </w:rPr>
      </w:pPr>
      <w:r>
        <w:rPr>
          <w:rFonts w:ascii="Times New Roman" w:hAnsi="Times New Roman"/>
          <w:color w:val="212121"/>
          <w:sz w:val="20"/>
        </w:rPr>
        <w:t>We use equity awards to compensate our named executive officers both in the form of initial grants, in connection with the commencement of employment, and annual grants. Annual grants of equity awards are typically approved by the Human Capital and Compensation Committee, which then submits them to the Board for approval, in January of each year. While we intend that the majority of stock awards to our employees be made pursuant to initial grants or our annual grant program, the Human Capital and Compensation Committee retains discretion to make equity awards to employees at other times, including in connection with the promotion of an employee, to reward an employee, for retention purposes or for other circumstances, as recommended by management or the Human Capital and Compensation Committee.</w:t>
      </w:r>
    </w:p>
    <w:p>
      <w:pPr>
        <w:pStyle w:val="TextBody"/>
        <w:bidi w:val="0"/>
        <w:jc w:val="left"/>
        <w:rPr/>
      </w:pPr>
      <w:r>
        <w:rPr/>
        <w:t> </w:t>
      </w:r>
    </w:p>
    <w:p>
      <w:pPr>
        <w:pStyle w:val="TextBody"/>
        <w:bidi w:val="0"/>
        <w:jc w:val="left"/>
        <w:rPr>
          <w:rFonts w:ascii="Times New Roman" w:hAnsi="Times New Roman"/>
          <w:color w:val="212121"/>
          <w:sz w:val="20"/>
        </w:rPr>
      </w:pPr>
      <w:r>
        <w:rPr>
          <w:rFonts w:ascii="Times New Roman" w:hAnsi="Times New Roman"/>
          <w:color w:val="212121"/>
          <w:sz w:val="20"/>
        </w:rPr>
        <w:t>The Human Capital and Compensation Committee determines each executive officer’s annual equity grant taking into account a competitive market analysis (as prepared by Compensia, and using market data for each role), the recommendations of our Interim Chief Executive Officer based on his evaluation of their individual performance (except with respect to his own performance), the extent to which the executive officer is currently vested in his or her stock awards, scope and criticality of the executive’s role and parity in targets among executives.</w:t>
      </w:r>
    </w:p>
    <w:p>
      <w:pPr>
        <w:pStyle w:val="TextBody"/>
        <w:bidi w:val="0"/>
        <w:jc w:val="left"/>
        <w:rPr/>
      </w:pPr>
      <w:r>
        <w:rPr/>
        <w:t> </w:t>
      </w:r>
    </w:p>
    <w:p>
      <w:pPr>
        <w:pStyle w:val="TextBody"/>
        <w:bidi w:val="0"/>
        <w:jc w:val="left"/>
        <w:rPr>
          <w:rFonts w:ascii="Times New Roman" w:hAnsi="Times New Roman"/>
          <w:color w:val="212121"/>
          <w:sz w:val="20"/>
        </w:rPr>
      </w:pPr>
      <w:r>
        <w:rPr>
          <w:rFonts w:ascii="Times New Roman" w:hAnsi="Times New Roman"/>
          <w:color w:val="212121"/>
          <w:sz w:val="20"/>
        </w:rPr>
        <w:t xml:space="preserve">In 2025, we granted equity awards in the form of stock options. Stock options are an important vehicle for tying executive pay to performance because they deliver future value only if the value of our Common Stock increases above the exercise price. The exercise price of each stock option grant is the fair market value of our common stock on the grant date. </w:t>
      </w:r>
    </w:p>
    <w:p>
      <w:pPr>
        <w:pStyle w:val="TextBody"/>
        <w:bidi w:val="0"/>
        <w:jc w:val="left"/>
        <w:rPr/>
      </w:pPr>
      <w:r>
        <w:rPr/>
        <w:t> </w:t>
      </w:r>
    </w:p>
    <w:p>
      <w:pPr>
        <w:pStyle w:val="TextBody"/>
        <w:bidi w:val="0"/>
        <w:jc w:val="left"/>
        <w:rPr>
          <w:rFonts w:ascii="Times New Roman" w:hAnsi="Times New Roman"/>
          <w:color w:val="212121"/>
          <w:sz w:val="20"/>
        </w:rPr>
      </w:pPr>
      <w:r>
        <w:rPr>
          <w:rFonts w:ascii="Times New Roman" w:hAnsi="Times New Roman"/>
          <w:color w:val="212121"/>
          <w:sz w:val="20"/>
        </w:rPr>
        <w:t>In January 2025, our named executive officers, Mr. O’Toole and Ms. Kelsey, were each awarded an annual grant of stock options under our Incentive Plan of 150,000 and 65,000 stock options, respectively. These options vest in three equal annual installments beginning the first anniversary of the grant date. Mr. Vance received a grant of stock options and RSUs in 2025 for his service as a non-executive Director of the Board, serving as Chairman of the Board and Chairman of the Human Capital and Compensation Committee, as described further under “Director Compensation” above. Mr. Vance did not receive any equity awards in 2025 as compensation for his service as our Interim Chief Executive Officer since October 16, 2025.</w:t>
      </w:r>
    </w:p>
    <w:p>
      <w:pPr>
        <w:pStyle w:val="TextBody"/>
        <w:bidi w:val="0"/>
        <w:jc w:val="left"/>
        <w:rPr/>
      </w:pPr>
      <w:r>
        <w:rPr/>
        <w:t> </w:t>
      </w:r>
    </w:p>
    <w:p>
      <w:pPr>
        <w:pStyle w:val="TextBody"/>
        <w:bidi w:val="0"/>
        <w:jc w:val="left"/>
        <w:rPr>
          <w:rFonts w:ascii="Times New Roman" w:hAnsi="Times New Roman"/>
          <w:color w:val="212121"/>
          <w:sz w:val="20"/>
        </w:rPr>
      </w:pPr>
      <w:r>
        <w:rPr>
          <w:rFonts w:ascii="Times New Roman" w:hAnsi="Times New Roman"/>
          <w:color w:val="212121"/>
          <w:sz w:val="20"/>
        </w:rPr>
        <w:t>For a description of the accelerated vesting applicable to our named executive officers’ stock awards, see “Employment Contracts” 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5" w:name="employement_contracts"/>
      <w:bookmarkEnd w:id="35"/>
      <w:r>
        <w:rPr>
          <w:rFonts w:ascii="Times New Roman" w:hAnsi="Times New Roman"/>
          <w:b/>
          <w:color w:val="000000"/>
          <w:sz w:val="20"/>
        </w:rPr>
        <w:t>Employment Contracts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outlines the specified terms of the relevant employment contracts for the named executive officers of the Company. For compensation information of our named executives refer to the Summary Compensation Table above. </w:t>
      </w:r>
    </w:p>
    <w:tbl>
      <w:tblPr>
        <w:tblW w:w="10205" w:type="dxa"/>
        <w:jc w:val="left"/>
        <w:tblInd w:w="0" w:type="dxa"/>
        <w:tblLayout w:type="fixed"/>
        <w:tblCellMar>
          <w:top w:w="28" w:type="dxa"/>
          <w:left w:w="28" w:type="dxa"/>
          <w:bottom w:w="28" w:type="dxa"/>
          <w:right w:w="28" w:type="dxa"/>
        </w:tblCellMar>
      </w:tblPr>
      <w:tblGrid>
        <w:gridCol w:w="1752"/>
        <w:gridCol w:w="109"/>
        <w:gridCol w:w="811"/>
        <w:gridCol w:w="109"/>
        <w:gridCol w:w="2104"/>
        <w:gridCol w:w="109"/>
        <w:gridCol w:w="2458"/>
        <w:gridCol w:w="109"/>
        <w:gridCol w:w="2644"/>
      </w:tblGrid>
      <w:tr>
        <w:trPr/>
        <w:tc>
          <w:tcPr>
            <w:tcW w:w="175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0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5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4" w:type="dxa"/>
            <w:tcBorders/>
            <w:shd w:fill="FFFFFF" w:val="clear"/>
            <w:vAlign w:val="center"/>
          </w:tcPr>
          <w:p>
            <w:pPr>
              <w:pStyle w:val="TableContents"/>
              <w:bidi w:val="0"/>
              <w:spacing w:before="0" w:after="283"/>
              <w:jc w:val="left"/>
              <w:rPr>
                <w:sz w:val="4"/>
                <w:szCs w:val="4"/>
              </w:rPr>
            </w:pPr>
            <w:r>
              <w:rPr>
                <w:sz w:val="4"/>
                <w:szCs w:val="4"/>
              </w:rPr>
            </w:r>
          </w:p>
        </w:tc>
      </w:tr>
      <w:tr>
        <w:trPr/>
        <w:tc>
          <w:tcPr>
            <w:tcW w:w="175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Role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Name</w:t>
            </w:r>
            <w:r>
              <w:rPr>
                <w:rFonts w:ascii="Times New Roman" w:hAnsi="Times New Roman"/>
                <w:color w:val="000000"/>
                <w:sz w:val="16"/>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Contract Duration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Period of Notice </w:t>
            </w:r>
            <w:r>
              <w:rPr>
                <w:rFonts w:ascii="Times New Roman" w:hAnsi="Times New Roman"/>
                <w:b/>
                <w:color w:val="000000"/>
                <w:sz w:val="11"/>
              </w:rPr>
              <w:t>(2) (3)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Termination payments</w:t>
              <w:br/>
              <w:t>provided for by contract</w:t>
            </w:r>
            <w:r>
              <w:rPr>
                <w:rFonts w:ascii="Times New Roman" w:hAnsi="Times New Roman"/>
                <w:color w:val="000000"/>
                <w:sz w:val="16"/>
              </w:rPr>
              <w:t xml:space="preserve"> </w:t>
            </w:r>
            <w:r>
              <w:rPr>
                <w:rFonts w:ascii="Times New Roman" w:hAnsi="Times New Roman"/>
                <w:b/>
                <w:color w:val="000000"/>
                <w:sz w:val="11"/>
              </w:rPr>
              <w:t>(1)</w:t>
            </w:r>
          </w:p>
        </w:tc>
      </w:tr>
      <w:tr>
        <w:trPr/>
        <w:tc>
          <w:tcPr>
            <w:tcW w:w="1752"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Interim Chief Executive</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Officer (CEO)</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Cary Vance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One year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Termination by the Company with or without Cause – No notice period.</w:t>
            </w:r>
          </w:p>
          <w:p>
            <w:pPr>
              <w:pStyle w:val="TableContents"/>
              <w:bidi w:val="0"/>
              <w:spacing w:before="0" w:after="60"/>
              <w:jc w:val="left"/>
              <w:rPr>
                <w:rFonts w:ascii="Times New Roman" w:hAnsi="Times New Roman"/>
                <w:color w:val="000000"/>
                <w:sz w:val="18"/>
              </w:rPr>
            </w:pPr>
            <w:r>
              <w:rPr>
                <w:rFonts w:ascii="Times New Roman" w:hAnsi="Times New Roman"/>
                <w:color w:val="000000"/>
                <w:sz w:val="18"/>
              </w:rPr>
              <w:t>Termination by executive- with or without Good Reason - 90 days prior written notice.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but unpaid salary, expenses, and bonus</w:t>
            </w:r>
          </w:p>
        </w:tc>
      </w:tr>
      <w:tr>
        <w:trPr/>
        <w:tc>
          <w:tcPr>
            <w:tcW w:w="1752"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Chief Financial</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Officer (CFO)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ended contract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8"/>
              </w:rPr>
            </w:pPr>
            <w:r>
              <w:rPr>
                <w:rFonts w:ascii="Times New Roman" w:hAnsi="Times New Roman"/>
                <w:color w:val="000000"/>
                <w:sz w:val="18"/>
              </w:rPr>
              <w:t>Termination by the Company or Executive with or without Cause – No notice period.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 months base salary and continued healthcare benefits; 100% acceleration of stock options</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Chief Legal and Compliance Officer (CLCO)</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Nicole Kelsey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ended contract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shd w:fill="CFF0FC"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8"/>
              </w:rPr>
            </w:pPr>
            <w:r>
              <w:rPr>
                <w:rFonts w:ascii="Times New Roman" w:hAnsi="Times New Roman"/>
                <w:color w:val="000000"/>
                <w:sz w:val="18"/>
              </w:rPr>
              <w:t>Termination by the Company or Executive with or without Cause – No notice period.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 months base salary and continued healthcare benefits; 100% acceleration of stock options</w:t>
            </w:r>
          </w:p>
        </w:tc>
      </w:tr>
      <w:tr>
        <w:trPr/>
        <w:tc>
          <w:tcPr>
            <w:tcW w:w="1752"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Former Chief Executive</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Officer (CEO)</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Three years with automatic one-year extensions on each anniversary.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Termination by the Company with or without Cause – No notice period.</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executive- with or without Good Reason - 90 days prior written notice.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18 months base salary; 12 months continued healthcare benefits</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Termination payments for the CFO and CLCO are triggered only in the event of employment termination for involuntary termination without cause or resignation for “Good Reason.”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color w:val="000000"/>
        </w:rPr>
      </w:pPr>
      <w:r>
        <w:rPr>
          <w:color w:val="000000"/>
        </w:rPr>
        <w:t>“</w:t>
      </w:r>
      <w:r>
        <w:rPr>
          <w:rFonts w:ascii="Times New Roman" w:hAnsi="Times New Roman"/>
          <w:color w:val="000000"/>
          <w:sz w:val="20"/>
        </w:rPr>
        <w:t xml:space="preserve">Cause” - For the CFO and CLCO, “Cause” is defined as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color w:val="000000"/>
        </w:rPr>
      </w:pPr>
      <w:r>
        <w:rPr>
          <w:color w:val="000000"/>
        </w:rPr>
        <w:t>“</w:t>
      </w:r>
      <w:r>
        <w:rPr>
          <w:rFonts w:ascii="Times New Roman" w:hAnsi="Times New Roman"/>
          <w:color w:val="000000"/>
          <w:sz w:val="20"/>
        </w:rPr>
        <w:t xml:space="preserve">Good Reason” - For the CFO and CLCO, Good Reason is defined as (i)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w:t>
      </w:r>
    </w:p>
    <w:p>
      <w:pPr>
        <w:pStyle w:val="TextBody"/>
        <w:bidi w:val="0"/>
        <w:jc w:val="left"/>
        <w:rPr/>
      </w:pPr>
      <w:r>
        <w:rPr/>
        <w:t> </w:t>
      </w:r>
    </w:p>
    <w:p>
      <w:pPr>
        <w:pStyle w:val="TextBody"/>
        <w:bidi w:val="0"/>
        <w:jc w:val="left"/>
        <w:rPr>
          <w:rFonts w:ascii="Times New Roman" w:hAnsi="Times New Roman"/>
          <w:i/>
          <w:color w:val="000000"/>
          <w:sz w:val="20"/>
        </w:rPr>
      </w:pPr>
      <w:bookmarkStart w:id="36" w:name="separation_and_release_james_corbett"/>
      <w:bookmarkEnd w:id="36"/>
      <w:r>
        <w:rPr>
          <w:rFonts w:ascii="Times New Roman" w:hAnsi="Times New Roman"/>
          <w:i/>
          <w:color w:val="000000"/>
          <w:sz w:val="20"/>
        </w:rPr>
        <w:t>Separation and Release Agreement with James Corbett</w:t>
      </w:r>
    </w:p>
    <w:p>
      <w:pPr>
        <w:pStyle w:val="TextBody"/>
        <w:bidi w:val="0"/>
        <w:jc w:val="left"/>
        <w:rPr/>
      </w:pPr>
      <w:r>
        <w:rPr/>
        <w:t> </w:t>
      </w:r>
    </w:p>
    <w:p>
      <w:pPr>
        <w:pStyle w:val="TextBody"/>
        <w:bidi w:val="0"/>
        <w:jc w:val="left"/>
        <w:rPr>
          <w:rFonts w:ascii="Times New Roman" w:hAnsi="Times New Roman"/>
          <w:color w:val="212121"/>
          <w:sz w:val="20"/>
        </w:rPr>
      </w:pPr>
      <w:r>
        <w:rPr>
          <w:rFonts w:ascii="Times New Roman" w:hAnsi="Times New Roman"/>
          <w:color w:val="212121"/>
          <w:sz w:val="20"/>
        </w:rPr>
        <w:t>Pursuant to the terms of Mr. Corbett’s separation and release agreement, in connection with his termination from employment without cause, Mr. Corbett received a severance payment in an amount of $1,053,000, representing 18 months of his base salary being paid equally in 36 bi-monthly installments, as well as 12 months of healthcare continuation benefits. Mr. Corbett’s severance payments and benefits were subject to his execution and non-revocation of a release of claims in favor of the Company. Additionally, pursuant to Mr. Corbett’s separation and release agreement, he continued to provide services as a non-employee advisor to the Company through January 30, 2026; the vesting of his equity awards continued through such date, with the post-termination exercise period for any outstanding options expiring on July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Executive Employment Agreement with Cary Vance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Board appointing Mr. Vance as the Company’s Interim CEO, effective October 16, 2025, the Company entered into an executive employment agreement with Mr. Vance. Under that agreement, Mr. Vance receives a base salary at an annualized rate of $702,000 and was eligible for, and paid, a guaranteed cash bonus of $140,000 for the year ended December 31, 2025. In consideration of Mr. Vance’s continued service through October 16, 2026, Mr. Vance is eligible for a cash bonus at a target level equal to 80% of his base salary, prorated for his service through that date; 50% of that cash bonus is guaranteed at the target level, and the remaining 50% will be determined based on Mr. Vance’s achievement of certain performance metrics as established by the Board.</w:t>
      </w:r>
    </w:p>
    <w:p>
      <w:pPr>
        <w:pStyle w:val="TextBody"/>
        <w:bidi w:val="0"/>
        <w:jc w:val="left"/>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Retirement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of our eligible employees is offered the opportunity to participate in the Company’s 401(k) retirement savings plan (the “401(k) Plan”). Pursuant to our 401(k) Plan, all eligible employees (including our named executive officers) are provided with a means of saving for their retirement. We currently match all participating employee contributions up to a maximum of 6% of the participating employee’s annual compensation. The Company’s contribution vests over a two-year period following the participant employee’s first contribution, and annually thereafter.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Company provides a deferred compensation plan (the “Deferred Compensation Plan”) to its eligible employees (including the Company’s named executive officers). Each participant employee may elect to defer a portion of his/her compensation (up to a maximum of 85% of base salary and 100% of bonus and equity awards). Participant employees elect the form and timing of distribution of the deferred compensation at the time that the participant employee enrolls in the Deferred Compensation Plan. Participant employees are always 100% vested in their deferral accounts and the Company matches any eligible employee contribution at a percentage scaled to such employee’s position with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Clawback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in maintaining best practices for our executive compensation program and maintain a compensation recovery policy that requires the recovery of certain erroneously paid incentive compensation received by our Section 16 officers on or after October 2, 2023, in the event the Company is required to prepare a financial restatement, as defined and required by the applicable SEC rules and Nasdaq listing standards (implemented pursuant to the Dodd-Frank Wall Street Reform and Consumer Protection Act (the “Dodd-Frank Act”)), and which can be recovered from incentive-based compensation.</w:t>
      </w:r>
    </w:p>
    <w:p>
      <w:pPr>
        <w:pStyle w:val="TextBody"/>
        <w:bidi w:val="0"/>
        <w:spacing w:before="240" w:after="283"/>
        <w:jc w:val="both"/>
        <w:rPr>
          <w:rFonts w:ascii="Times New Roman" w:hAnsi="Times New Roman"/>
          <w:sz w:val="20"/>
        </w:rPr>
      </w:pPr>
      <w:r>
        <w:rPr>
          <w:rFonts w:ascii="Times New Roman" w:hAnsi="Times New Roman"/>
          <w:b/>
          <w:color w:val="000000"/>
          <w:sz w:val="20"/>
        </w:rPr>
        <w:t>Equity Grant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grant equity awards in anticipation of the release of material, nonpublic information or time the release of material, nonpublic information based on equity award grant dates, vesting events, or sale events. During fiscal year 2025, we did not grant equity awards to our named executive officers during the four business days prior to or the one business day following the filing of our periodic reports or the filing or furnishing of a Form 8-K that discloses material nonpublic information. We have not timed the disclosure of material nonpublic information for the purpose of affecting the value of executive compensation for grants to named executive officers in 2025.</w:t>
      </w:r>
    </w:p>
    <w:p>
      <w:pPr>
        <w:pStyle w:val="TextBody"/>
        <w:bidi w:val="0"/>
        <w:jc w:val="left"/>
        <w:rPr/>
      </w:pPr>
      <w:r>
        <w:rPr/>
        <w:t> </w:t>
      </w:r>
    </w:p>
    <w:p>
      <w:pPr>
        <w:pStyle w:val="TextBody"/>
        <w:bidi w:val="0"/>
        <w:jc w:val="left"/>
        <w:rPr>
          <w:rFonts w:ascii="Times New Roman" w:hAnsi="Times New Roman"/>
          <w:b/>
          <w:color w:val="000000"/>
          <w:sz w:val="20"/>
        </w:rPr>
      </w:pPr>
      <w:bookmarkStart w:id="37" w:name="pay_vs_performance"/>
      <w:bookmarkEnd w:id="37"/>
      <w:r>
        <w:rPr>
          <w:rFonts w:ascii="Times New Roman" w:hAnsi="Times New Roman"/>
          <w:b/>
          <w:color w:val="000000"/>
          <w:sz w:val="20"/>
        </w:rPr>
        <w:t>Pay Versus Performance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required by Item 402(v) of Regulation S-K, we are providing the following information about the relationship between the compensation actually paid (or “CAP”) to our named executive officers and required financial performance measures.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466"/>
        <w:gridCol w:w="188"/>
        <w:gridCol w:w="898"/>
        <w:gridCol w:w="146"/>
        <w:gridCol w:w="162"/>
        <w:gridCol w:w="924"/>
        <w:gridCol w:w="146"/>
        <w:gridCol w:w="185"/>
        <w:gridCol w:w="881"/>
        <w:gridCol w:w="146"/>
        <w:gridCol w:w="150"/>
        <w:gridCol w:w="916"/>
        <w:gridCol w:w="166"/>
        <w:gridCol w:w="165"/>
        <w:gridCol w:w="939"/>
        <w:gridCol w:w="146"/>
        <w:gridCol w:w="163"/>
        <w:gridCol w:w="928"/>
        <w:gridCol w:w="166"/>
        <w:gridCol w:w="217"/>
        <w:gridCol w:w="763"/>
        <w:gridCol w:w="146"/>
        <w:gridCol w:w="148"/>
        <w:gridCol w:w="671"/>
        <w:gridCol w:w="218"/>
      </w:tblGrid>
      <w:tr>
        <w:trPr/>
        <w:tc>
          <w:tcPr>
            <w:tcW w:w="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Year</w:t>
            </w:r>
            <w:r>
              <w:rPr>
                <w:rFonts w:ascii="Times New Roman" w:hAnsi="Times New Roman"/>
                <w:b/>
                <w:color w:val="000000"/>
                <w:sz w:val="10"/>
              </w:rPr>
              <w:t>1</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Summary Compensation Table Total </w:t>
              <w:br/>
              <w:t xml:space="preserve">for Cary Vance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Summary Compensation Table Total </w:t>
              <w:br/>
              <w:t>for James Corbett</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Compensation Actually Paid</w:t>
              <w:br/>
              <w:t>to Cary Vance</w:t>
            </w:r>
            <w:r>
              <w:rPr>
                <w:rFonts w:ascii="Times New Roman" w:hAnsi="Times New Roman"/>
                <w:b/>
                <w:color w:val="000000"/>
                <w:sz w:val="10"/>
              </w:rPr>
              <w:t>2</w:t>
            </w:r>
            <w:r>
              <w:rPr>
                <w:rFonts w:ascii="Times New Roman" w:hAnsi="Times New Roman"/>
                <w:b/>
                <w:color w:val="000000"/>
                <w:sz w:val="15"/>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Compensation Actually Paid</w:t>
              <w:br/>
              <w:t>to James Corbett</w:t>
            </w:r>
            <w:r>
              <w:rPr>
                <w:rFonts w:ascii="Times New Roman" w:hAnsi="Times New Roman"/>
                <w:b/>
                <w:color w:val="000000"/>
                <w:sz w:val="10"/>
              </w:rPr>
              <w:t>2</w:t>
            </w:r>
            <w:r>
              <w:rPr>
                <w:rFonts w:ascii="Times New Roman" w:hAnsi="Times New Roman"/>
                <w:b/>
                <w:color w:val="000000"/>
                <w:sz w:val="15"/>
              </w:rPr>
              <w:b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 Summary Compensation Table Total</w:t>
              <w:br/>
              <w:t>for Non-PEO Named Executive Officers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Average Compensation Actually Paid to</w:t>
              <w:br/>
              <w:t>Non-PEO Named Executive Officers</w:t>
            </w:r>
            <w:r>
              <w:rPr>
                <w:rFonts w:ascii="Times New Roman" w:hAnsi="Times New Roman"/>
                <w:b/>
                <w:color w:val="000000"/>
                <w:sz w:val="10"/>
              </w:rPr>
              <w:t>2</w:t>
            </w:r>
            <w:r>
              <w:rPr>
                <w:rFonts w:ascii="Times New Roman" w:hAnsi="Times New Roman"/>
                <w:b/>
                <w:color w:val="000000"/>
                <w:sz w:val="15"/>
              </w:rPr>
              <w:b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 of Initial Fixed $100 Investment Based On</w:t>
              <w:br/>
              <w:t>Total Shareholder Return</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 loss</w:t>
              <w:br/>
              <w:t>(in thousands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(48,587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3,243,885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3,549,524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(61,845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For 2025, the Principal Executive Officer (the “PEO”) is both Cary Vance and James Corbett. For 2024, the PEO is Mr. Corbett. For 2025, the non-PEO named executive officers are David O’Toole and Nicole Kelsey. For 2024, the non-PEO named executive officers are Mr. O’Toole, Ms. Kelsey, and Donna Shiroma.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details the applicable adjustments that were made to determine the CAP.</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32"/>
        <w:gridCol w:w="198"/>
        <w:gridCol w:w="761"/>
        <w:gridCol w:w="166"/>
        <w:gridCol w:w="146"/>
        <w:gridCol w:w="200"/>
        <w:gridCol w:w="907"/>
        <w:gridCol w:w="166"/>
        <w:gridCol w:w="146"/>
        <w:gridCol w:w="207"/>
        <w:gridCol w:w="874"/>
        <w:gridCol w:w="166"/>
        <w:gridCol w:w="146"/>
        <w:gridCol w:w="196"/>
        <w:gridCol w:w="886"/>
        <w:gridCol w:w="166"/>
        <w:gridCol w:w="146"/>
        <w:gridCol w:w="207"/>
        <w:gridCol w:w="874"/>
        <w:gridCol w:w="215"/>
      </w:tblGrid>
      <w:tr>
        <w:trPr/>
        <w:tc>
          <w:tcPr>
            <w:tcW w:w="343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PEO</w:t>
              <w:br/>
              <w:t>Cary Vance</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PEO</w:t>
              <w:br/>
              <w:t>James Corbett</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Non-PEO NEOs</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PEO</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Non-PEO NEOs</w:t>
              <w:b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Summary Compensation Table (SCT) 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3,243,885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1,584,838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Less</w:t>
            </w:r>
            <w:r>
              <w:rPr>
                <w:rFonts w:ascii="Times New Roman" w:hAnsi="Times New Roman"/>
                <w:color w:val="000000"/>
                <w:sz w:val="18"/>
              </w:rPr>
              <w:t> Grant Date Fair Value of Option Awards and Stock Awards Granted in Fiscal Year</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(2,080,166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(902,766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Plus</w:t>
            </w:r>
            <w:r>
              <w:rPr>
                <w:rFonts w:ascii="Times New Roman" w:hAnsi="Times New Roman"/>
                <w:color w:val="000000"/>
                <w:sz w:val="18"/>
              </w:rPr>
              <w:t> Fair Value at Fiscal Year-End of Outstanding and Unvested Option Awards and Stock Awards Granted in Fiscal Year</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809,172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Plus</w:t>
            </w:r>
            <w:r>
              <w:rPr>
                <w:rFonts w:ascii="Times New Roman" w:hAnsi="Times New Roman"/>
                <w:color w:val="000000"/>
                <w:sz w:val="18"/>
              </w:rPr>
              <w:t> Change in Fair Value of Outstanding and Unvested Option Awards and Stock Awards Granted in Prior Fiscal Years</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Plus</w:t>
            </w:r>
            <w:r>
              <w:rPr>
                <w:rFonts w:ascii="Times New Roman" w:hAnsi="Times New Roman"/>
                <w:color w:val="000000"/>
                <w:sz w:val="18"/>
              </w:rPr>
              <w:t> Fair Value at Vesting of Option Awards and Stock Awards Granted in Fiscal Year That Vested During Fiscal Year</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Plus</w:t>
            </w:r>
            <w:r>
              <w:rPr>
                <w:rFonts w:ascii="Times New Roman" w:hAnsi="Times New Roman"/>
                <w:color w:val="000000"/>
                <w:sz w:val="18"/>
              </w:rPr>
              <w:t> Change in Fair Value as of Vesting Date of Option Awards and Stock Awards Granted in Prior Fiscal Years For Which Applicable Vesting Conditions Were Satisfied During Fiscal Year</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(235,466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Less</w:t>
            </w:r>
            <w:r>
              <w:rPr>
                <w:rFonts w:ascii="Times New Roman" w:hAnsi="Times New Roman"/>
                <w:color w:val="000000"/>
                <w:sz w:val="18"/>
              </w:rPr>
              <w:t> Fair Value as of Prior Fiscal Year-End of Option Awards and Stock Awards Granted in Prior Fiscal Years That Failed to Meet Applicable Vesting Conditions During Fiscal Year</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Compensation Actually Paid (CAP) Total</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3,549,524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1,354,307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Relationship Between Pay and Financial Performance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graph presents the relationship between the PEO(s)’ and average non-PEO named executive officers’ CAP and the Company’s cumulative indexed total shareholder return (“TSR”), in each case, for the fiscal years ended December 31, 2025 and 2024. TSR amounts reported in the graph assume an initial fixed investment of $100, and that all dividends, if any, were reinvested:</w:t>
      </w:r>
    </w:p>
    <w:p>
      <w:pPr>
        <w:pStyle w:val="TextBody"/>
        <w:bidi w:val="0"/>
        <w:jc w:val="left"/>
        <w:rPr/>
      </w:pPr>
      <w:r>
        <w:rPr/>
        <w:t> </w:t>
      </w:r>
    </w:p>
    <w:p>
      <w:pPr>
        <w:pStyle w:val="TextBody"/>
        <w:bidi w:val="0"/>
        <w:jc w:val="center"/>
        <w:rPr/>
      </w:pPr>
      <w:r>
        <w:rPr/>
        <w:drawing>
          <wp:inline distT="0" distB="0" distL="0" distR="0">
            <wp:extent cx="6858000" cy="3057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05752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graph presents the relationship between PEO(s) and average non-PEO named executive officers’ CAP, and the Company’s net loss, for the periods presented.</w:t>
      </w:r>
    </w:p>
    <w:p>
      <w:pPr>
        <w:pStyle w:val="TextBody"/>
        <w:bidi w:val="0"/>
        <w:jc w:val="left"/>
        <w:rPr/>
      </w:pPr>
      <w:r>
        <w:rPr/>
        <w:t> </w:t>
      </w:r>
    </w:p>
    <w:p>
      <w:pPr>
        <w:pStyle w:val="TextBody"/>
        <w:bidi w:val="0"/>
        <w:jc w:val="center"/>
        <w:rPr/>
      </w:pPr>
      <w:r>
        <w:rPr/>
        <w:drawing>
          <wp:inline distT="0" distB="0" distL="0" distR="0">
            <wp:extent cx="6858000" cy="3057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0575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8" w:name="proposal_no_3_8"/>
      <w:bookmarkEnd w:id="38"/>
      <w:r>
        <w:rPr>
          <w:rFonts w:ascii="Times New Roman" w:hAnsi="Times New Roman"/>
          <w:b/>
          <w:color w:val="000000"/>
          <w:sz w:val="20"/>
        </w:rPr>
        <w:t>Proposal 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APPROVAL OF AN INCREASE TO MAXIMUM AGGREGATE ANNUAL CASH FEE POOL FROM WHICH THE NON-EXECUTIVE DIRECTORS OF THE COMPANY MAY BE PAID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ASX Listing Rule 10.17 and section 2.10 of the Company’s Bylaws, any proposed increase to the maximum aggregate annual cash fee pool from which non-executive Directors of the Company may be paid for their services as members of the Board must be approved by stockholders at an annual or special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currently six non-executive Directors of the Company – Professor Crowe, Mr. Curnock Cook, Mr. McNamara, Ms. Reed, Dr. Tarnoff, and Mr. Woody. The current maximum aggregate annual cash fee pool from which all of the non-executive Directors of the Company may be paid for their services as members of the Board is US$750,000. The remuneration of each non-executive Director for the year ended December 31, 2025 is detailed in Part III, Item 10 of the FY25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purpose of this Proposal 3 is to approve an increase in the maximum aggregate annual cash fee pool from US$750,000 to US$900,000. This would represent an increase to the current cash fee pool of US$150,000. If approved, the amount of US$900,000 would be the total aggregate cash amount that could be paid to the non-executive Directors in any given year. The approval of this increase does not necessarily mean that the full aggregate annual cash fee pool of US$900,000 will be utilized. The current aggregate annualized rate of compensation for the non-executive Directors is US$612,500.</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Reasons for the proposed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maximum aggregate annual cash fee pool of US$750,000 was last approved in 2021 by the Company’s stockholders at the Company’s annual meeting held on December 14, 2021 (United States). The Board considers that it is reasonable and appropriate at this time to seek stockholder approval for an increase in the maximum aggregate annual cash fee pool as these additional funds will enable the Company to continue to attract and retain Directors in an increasingly competitive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has further determined that the proposed amount of US$900,000 is a reasonable aggregate annual cash fee pool amount for a United States life sciences company that is dual-listed on Nasdaq and the ASX. The Board’s view is supported by Compensia, its independent compensation advisory firm that focuses on technology and life sciences companies. The Board has determined that this increase to its annual aggregate cash fee pool (to US$900,000) will allow it to continue its membership development efforts with remuneration at current market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this Proposal 3 is passed, the maximum aggregate annual cash fee pool from which non-executive Directors may be paid for their services as members of the Board will be US$900,000. If this Proposal 3 is not passed, the aggregate annual cash fee pool will remain at US$750,000, which may negatively impact the Board’s ongoing development efforts.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Securities issued to non-executive Directors under ASX Listing Rule 10.11 or 10.14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ASX Listing Rule 10.17 requires that the Company provide details of any securities issued to a non-executive Director under ASX Listing Rule 10.11 or 10.14 with stockholder approval at any time within the preceding three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last three years, the Company has issued RSUs and options to its non-executive Directors under ASX Listing Rule 10.11 as indicated in the table below. Additionally, if any of Proposals 4 – 11 are approved, the Company will issue RSUs and options (as applicable) to the Company’s non-executive Directors under ASX Listing Rule 10.11 on the terms set out in those Proposals.</w:t>
      </w:r>
    </w:p>
    <w:p>
      <w:pPr>
        <w:pStyle w:val="TextBody"/>
        <w:bidi w:val="0"/>
        <w:spacing w:before="120" w:after="283"/>
        <w:jc w:val="left"/>
        <w:rPr/>
      </w:pPr>
      <w:r>
        <w:rPr/>
        <w:t> </w:t>
      </w:r>
    </w:p>
    <w:tbl>
      <w:tblPr>
        <w:tblW w:w="9369" w:type="dxa"/>
        <w:jc w:val="left"/>
        <w:tblInd w:w="0" w:type="dxa"/>
        <w:tblLayout w:type="fixed"/>
        <w:tblCellMar>
          <w:top w:w="28" w:type="dxa"/>
          <w:left w:w="28" w:type="dxa"/>
          <w:bottom w:w="28" w:type="dxa"/>
          <w:right w:w="28" w:type="dxa"/>
        </w:tblCellMar>
      </w:tblPr>
      <w:tblGrid>
        <w:gridCol w:w="2161"/>
        <w:gridCol w:w="708"/>
        <w:gridCol w:w="2416"/>
        <w:gridCol w:w="708"/>
        <w:gridCol w:w="3376"/>
      </w:tblGrid>
      <w:tr>
        <w:trPr/>
        <w:tc>
          <w:tcPr>
            <w:tcW w:w="21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Non-Executive Director</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b/>
                <w:color w:val="000000"/>
                <w:sz w:val="20"/>
              </w:rPr>
              <w:t>RSUs and Options Granted</w:t>
            </w:r>
            <w:r>
              <w:rPr>
                <w:rFonts w:ascii="Times New Roman" w:hAnsi="Times New Roman"/>
                <w:color w:val="000000"/>
                <w:sz w:val="20"/>
              </w:rPr>
              <w:t xml:space="preserve">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Grant Date &amp; Vesting Schedule</w:t>
            </w:r>
          </w:p>
        </w:tc>
      </w:tr>
      <w:tr>
        <w:trPr/>
        <w:tc>
          <w:tcPr>
            <w:tcW w:w="2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Professor Suzanne Crowe</w:t>
            </w:r>
          </w:p>
        </w:tc>
        <w:tc>
          <w:tcPr>
            <w:tcW w:w="708" w:type="dxa"/>
            <w:tcBorders/>
            <w:tcMar>
              <w:top w:w="0" w:type="dxa"/>
              <w:left w:w="0" w:type="dxa"/>
              <w:bottom w:w="0" w:type="dxa"/>
              <w:right w:w="0" w:type="dxa"/>
            </w:tcMar>
            <w:vAlign w:val="center"/>
          </w:tcPr>
          <w:p>
            <w:pPr>
              <w:pStyle w:val="TableContents"/>
              <w:bidi w:val="0"/>
              <w:spacing w:before="120" w:after="283"/>
              <w:ind w:left="0" w:right="0" w:firstLine="562"/>
              <w:jc w:val="left"/>
              <w:rPr/>
            </w:pPr>
            <w:r>
              <w:rPr/>
              <w:t> </w:t>
            </w:r>
          </w:p>
        </w:tc>
        <w:tc>
          <w:tcPr>
            <w:tcW w:w="24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6,175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9,200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3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2,646 Options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3,943 Options</w:t>
            </w:r>
          </w:p>
          <w:p>
            <w:pPr>
              <w:pStyle w:val="TableContents"/>
              <w:bidi w:val="0"/>
              <w:spacing w:before="120" w:after="120"/>
              <w:jc w:val="left"/>
              <w:rPr>
                <w:color w:val="000000"/>
              </w:rPr>
            </w:pPr>
            <w:r>
              <w:rPr>
                <w:color w:val="000000"/>
              </w:rPr>
              <w:t>•</w:t>
            </w:r>
          </w:p>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4,295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3376"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8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4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6,175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9,200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sz w:val="4"/>
                <w:szCs w:val="4"/>
              </w:rPr>
            </w:pPr>
            <w:r>
              <w:rPr>
                <w:sz w:val="4"/>
                <w:szCs w:val="4"/>
              </w:rPr>
            </w:r>
          </w:p>
        </w:tc>
        <w:tc>
          <w:tcPr>
            <w:tcW w:w="3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8"/>
        <w:gridCol w:w="708"/>
        <w:gridCol w:w="1145"/>
        <w:gridCol w:w="708"/>
        <w:gridCol w:w="6176"/>
      </w:tblGrid>
      <w:tr>
        <w:trPr/>
        <w:tc>
          <w:tcPr>
            <w:tcW w:w="14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176" w:type="dxa"/>
            <w:tcBorders/>
            <w:vAlign w:val="center"/>
          </w:tcPr>
          <w:p>
            <w:pPr>
              <w:pStyle w:val="TableContents"/>
              <w:bidi w:val="0"/>
              <w:spacing w:before="0" w:after="283"/>
              <w:jc w:val="left"/>
              <w:rPr>
                <w:sz w:val="4"/>
                <w:szCs w:val="4"/>
              </w:rPr>
            </w:pPr>
            <w:r>
              <w:rPr>
                <w:sz w:val="4"/>
                <w:szCs w:val="4"/>
              </w:rPr>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1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2,646 Options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3,943 Options</w:t>
            </w:r>
          </w:p>
          <w:p>
            <w:pPr>
              <w:pStyle w:val="TableContents"/>
              <w:bidi w:val="0"/>
              <w:spacing w:before="120" w:after="120"/>
              <w:jc w:val="left"/>
              <w:rPr>
                <w:color w:val="000000"/>
              </w:rPr>
            </w:pPr>
            <w:r>
              <w:rPr>
                <w:color w:val="000000"/>
              </w:rPr>
              <w:t>•</w:t>
            </w:r>
          </w:p>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4,295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6176"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8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6,175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10,374 RSUS</w:t>
            </w:r>
          </w:p>
          <w:p>
            <w:pPr>
              <w:pStyle w:val="TableContents"/>
              <w:bidi w:val="0"/>
              <w:ind w:left="0" w:right="0" w:firstLine="562"/>
              <w:jc w:val="left"/>
              <w:rPr/>
            </w:pPr>
            <w:r>
              <w:rPr/>
              <w:t> </w:t>
            </w:r>
          </w:p>
          <w:p>
            <w:pPr>
              <w:pStyle w:val="TableContents"/>
              <w:bidi w:val="0"/>
              <w:spacing w:before="120" w:after="283"/>
              <w:ind w:left="0" w:right="0" w:firstLine="562"/>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9,200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1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vesting on the first, second, and third anniversary of the grant in equal amounts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2,646 Options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4,446 Options</w:t>
            </w:r>
          </w:p>
          <w:p>
            <w:pPr>
              <w:pStyle w:val="TableContents"/>
              <w:bidi w:val="0"/>
              <w:ind w:left="0" w:right="0" w:firstLine="562"/>
              <w:jc w:val="left"/>
              <w:rPr/>
            </w:pPr>
            <w:r>
              <w:rPr/>
              <w:t> </w:t>
            </w:r>
          </w:p>
          <w:p>
            <w:pPr>
              <w:pStyle w:val="TableContents"/>
              <w:bidi w:val="0"/>
              <w:spacing w:before="120" w:after="283"/>
              <w:ind w:left="0" w:right="0" w:firstLine="562"/>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3,943 Options</w:t>
            </w:r>
          </w:p>
          <w:p>
            <w:pPr>
              <w:pStyle w:val="TableContents"/>
              <w:bidi w:val="0"/>
              <w:spacing w:before="120" w:after="120"/>
              <w:jc w:val="left"/>
              <w:rPr>
                <w:color w:val="000000"/>
              </w:rPr>
            </w:pPr>
            <w:r>
              <w:rPr>
                <w:color w:val="000000"/>
              </w:rPr>
              <w:t>•</w:t>
            </w:r>
          </w:p>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4,295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6176"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vesting on the first, second, and third anniversary of the grant in equal amounts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8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Jan Stern Reed</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6,175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9,200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sz w:val="4"/>
                <w:szCs w:val="4"/>
              </w:rPr>
            </w:pPr>
            <w:r>
              <w:rPr>
                <w:sz w:val="4"/>
                <w:szCs w:val="4"/>
              </w:rPr>
            </w:r>
          </w:p>
        </w:tc>
        <w:tc>
          <w:tcPr>
            <w:tcW w:w="61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2,646 Options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3,943 Options</w:t>
            </w:r>
          </w:p>
          <w:p>
            <w:pPr>
              <w:pStyle w:val="TableContents"/>
              <w:bidi w:val="0"/>
              <w:spacing w:before="120" w:after="120"/>
              <w:jc w:val="left"/>
              <w:rPr>
                <w:color w:val="000000"/>
              </w:rPr>
            </w:pPr>
            <w:r>
              <w:rPr>
                <w:color w:val="000000"/>
              </w:rPr>
              <w:t>•</w:t>
            </w:r>
          </w:p>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4,295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6176"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8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 (1)</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6,175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9,200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sz w:val="4"/>
                <w:szCs w:val="4"/>
              </w:rPr>
            </w:pPr>
            <w:r>
              <w:rPr>
                <w:sz w:val="4"/>
                <w:szCs w:val="4"/>
              </w:rPr>
            </w:r>
          </w:p>
        </w:tc>
        <w:tc>
          <w:tcPr>
            <w:tcW w:w="61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2,646 Options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3,943 Options</w:t>
            </w:r>
          </w:p>
          <w:p>
            <w:pPr>
              <w:pStyle w:val="TableContents"/>
              <w:bidi w:val="0"/>
              <w:spacing w:before="120" w:after="120"/>
              <w:jc w:val="left"/>
              <w:rPr>
                <w:color w:val="000000"/>
              </w:rPr>
            </w:pPr>
            <w:r>
              <w:rPr>
                <w:color w:val="000000"/>
              </w:rPr>
              <w:t>•</w:t>
            </w:r>
          </w:p>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4,295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6176" w:type="dxa"/>
            <w:tcBorders>
              <w:bottom w:val="single" w:sz="4" w:space="0" w:color="000000"/>
            </w:tcBorders>
            <w:tcMar>
              <w:top w:w="0" w:type="dxa"/>
              <w:left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8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Cary Vance (2)</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6,175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10,374 RSUS</w:t>
            </w:r>
          </w:p>
          <w:p>
            <w:pPr>
              <w:pStyle w:val="TableContents"/>
              <w:bidi w:val="0"/>
              <w:ind w:left="0" w:right="0" w:firstLine="562"/>
              <w:jc w:val="left"/>
              <w:rPr/>
            </w:pPr>
            <w:r>
              <w:rPr/>
              <w:t> </w:t>
            </w:r>
          </w:p>
          <w:p>
            <w:pPr>
              <w:pStyle w:val="TableContents"/>
              <w:bidi w:val="0"/>
              <w:spacing w:before="120" w:after="283"/>
              <w:ind w:left="0" w:right="0" w:firstLine="562"/>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9,200 RSUs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1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vesting on the first, second, and third anniversary of the grant in equal amounts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
        <w:gridCol w:w="708"/>
        <w:gridCol w:w="1233"/>
        <w:gridCol w:w="708"/>
        <w:gridCol w:w="7323"/>
      </w:tblGrid>
      <w:tr>
        <w:trPr/>
        <w:tc>
          <w:tcPr>
            <w:tcW w:w="23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323" w:type="dxa"/>
            <w:tcBorders/>
            <w:vAlign w:val="center"/>
          </w:tcPr>
          <w:p>
            <w:pPr>
              <w:pStyle w:val="TableContents"/>
              <w:bidi w:val="0"/>
              <w:spacing w:before="0" w:after="283"/>
              <w:jc w:val="left"/>
              <w:rPr>
                <w:sz w:val="4"/>
                <w:szCs w:val="4"/>
              </w:rPr>
            </w:pPr>
            <w:r>
              <w:rPr>
                <w:sz w:val="4"/>
                <w:szCs w:val="4"/>
              </w:rPr>
            </w:r>
          </w:p>
        </w:tc>
      </w:tr>
      <w:tr>
        <w:trPr/>
        <w:tc>
          <w:tcPr>
            <w:tcW w:w="233"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233"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2,646 Options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4,446 Options</w:t>
            </w:r>
          </w:p>
          <w:p>
            <w:pPr>
              <w:pStyle w:val="TableContents"/>
              <w:bidi w:val="0"/>
              <w:spacing w:before="120" w:after="283"/>
              <w:ind w:left="0" w:right="0" w:firstLine="562"/>
              <w:jc w:val="left"/>
              <w:rPr/>
            </w:pPr>
            <w:r>
              <w:rPr/>
              <w:t> </w:t>
            </w:r>
          </w:p>
          <w:p>
            <w:pPr>
              <w:pStyle w:val="TableContents"/>
              <w:bidi w:val="0"/>
              <w:spacing w:before="120" w:after="283"/>
              <w:ind w:left="0" w:right="0" w:firstLine="562"/>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3,943 Options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4,295 Options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7323"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6, 2023, vesting on the first, second, and third anniversary of the grant in equal amounts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5, 2024, 12 months from grant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January 21, 2025, 12 months from grant</w:t>
            </w:r>
          </w:p>
        </w:tc>
      </w:tr>
      <w:tr>
        <w:trPr/>
        <w:tc>
          <w:tcPr>
            <w:tcW w:w="233"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Lou Panaccio retired from the Board on December 31, 2025 after serving as Chairman from July 2014 to August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Cary Vance served as a non-executive Director beginning in April 2023 and as Chairman beginning in August 2025, until his appointment as Interim CEO of the Company on October 16, 2025. Upon this executive appointment, Mr. Vance ceased serving on the Board as a non-executive Director (while continuing to serve as Executive Chairman); accordingly, he ceased receiving compensation (including equity-based compensation) for his service on our Board.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recommends that stockholders vote FOR Proposal 3 for the reasons set out above.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this Proposal 3 requires the affirmative vote of the holders of a majority of the voting power of the Common Stock present in person or represented by proxy at the Annual Meeting and entitled to vote on the relevant Proposal. Abstentions will have the same effect as votes “AGAINST” this Proposal 3. Broker non-votes will have no effect on the voting for this Proposal 3.</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Voting Exclusion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disregard any votes cast in favor of Proposal 3 by or on behalf of any Director of the Company or their associates.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the Company need not disregard a vote cast in favor of Proposal 3 by:</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person as proxy or attorney for a person who is entitled to vote on the Proposal, in accordance with directions given to the proxy or attorney; or</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chair of the Annual Meeting as proxy or attorney for a person who is entitled to vote on the Proposal, in accordance with a direction given to the chair to vote on the Proposal as the chair decides; or</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holder acting solely in a nominee, trustee, custodial or other fiduciary capacity on behalf of a beneficiary provided the following conditions are met:</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beneficiary provides written confirmation to the holder that the beneficiary is not excluded from voting, and is not an associate of a person excluded from voting, on the Proposal;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holder votes on the Proposal in accordance with directions given by the beneficiary.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9" w:name="proposals_4_11"/>
      <w:bookmarkEnd w:id="39"/>
      <w:r>
        <w:rPr>
          <w:rFonts w:ascii="Times New Roman" w:hAnsi="Times New Roman"/>
          <w:b/>
          <w:color w:val="000000"/>
          <w:sz w:val="20"/>
        </w:rPr>
        <w:t>Proposals 4 – 11</w:t>
      </w:r>
    </w:p>
    <w:p>
      <w:pPr>
        <w:pStyle w:val="TextBody"/>
        <w:bidi w:val="0"/>
        <w:jc w:val="center"/>
        <w:rPr>
          <w:rFonts w:ascii="Times New Roman" w:hAnsi="Times New Roman"/>
          <w:sz w:val="20"/>
        </w:rPr>
      </w:pPr>
      <w:r>
        <w:rPr>
          <w:rFonts w:ascii="Times New Roman" w:hAnsi="Times New Roman"/>
          <w:b/>
          <w:color w:val="000000"/>
          <w:sz w:val="20"/>
        </w:rPr>
        <w:t>APPROVAL OF THE GRANTS OF OPTIONS AND RESTRICTED STOCK UNITS TO NON-EXECUTIVE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Background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Proposals 4 – 11 seek the approval of stockholders under the relevant ASX Listing Rules described below for the grant to each of the Company’s non-executive Directors of both RSUs and options to acquire shares of Common Stock of the Company (the “Options” and together with the RSUs, the “NED Securities”) in the amounts set out in Tables 1 and 2 below. </w:t>
      </w:r>
      <w:r>
        <w:rPr>
          <w:rFonts w:ascii="Times New Roman" w:hAnsi="Times New Roman"/>
          <w:color w:val="231F20"/>
          <w:sz w:val="20"/>
        </w:rPr>
        <w:t>The Company’s current practice is to grant equity awards to the non-executive Directors of the Board, for issuance upon approval by the stockholders in the Company’s annual stockholders meeting, outside of the Incentive Plan (attached as Exhibit 10.55 to the FY25 10-K). This practice allows the Company to utilize the shares reserved under the Incentive Plan for granting equity-based compensation to the Company’s employees</w:t>
      </w:r>
      <w:r>
        <w:rPr>
          <w:rFonts w:ascii="Times New Roman" w:hAnsi="Times New Roman"/>
          <w:color w:val="000000"/>
          <w:sz w:val="20"/>
        </w:rPr>
        <w:t>. The Board is of the view that the proposed grant of NED Securities to the non-executive Directors named below is a cost-effective method of remuneration that is aligned with market practice and is both reasonable and appropriate.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 RSU is an unfunded and unsecured contractual entitlement to receive one share of Common Stock of the Company subject to certain conditions. Upon the achievement of these conditions (“vesting”), each RSU will entitle its holder to be issued one fully paid share of Common Stock without monetary consideration. An option is a financial instrument that gives its holder the right, but not the obligation, to purchase a security at a certain exercise price, typically the closing price of the security on the day the option is granted, subject to vesting. Each option, upon vesting and payment of the applicable exercise price will entitle the holder to receive one fully paid share of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engaged Compensia, its independent compensation advisory firm, to conduct its annual review of the Company’s compensation arrangements for non-executive Directors in fiscal year 2025. As part of its analysis, Compensia confirmed a peer group for the Company comprised of 18 U.S. based public companies of similar size, industry, revenue, and market capitalization using a rules-based approach. At a special joint meeting of the Board and its Human Capital and Compensation Committee on January 5, 2026, the Board resolved to approve the grants of NED Securities in these Proposals with a grant date of January 20, 2026 (the “Grant Date”), subject to stockholder approval. The Board previously established the governance practice that it would deliberate and resolve upon its annual remuneration in a standing joint meeting with the Human Capital and Compensation Committee every January, with any equity grants to be priced on the third Monday of each January (or the following day if such Monday falls on a holiday). The grants of NED Securities in Proposals 4 - 11 align with Compensia’s recommendations following its review of the Company’s non-executive Director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Consistent with common annual equity remuneration practices for non-executive Directors of U.S. public companies as reported by Compensia, Table 1 below reflects equity awards proposed for each non-executive Director for the fiscal year ending December 31, 2026 (the “Annual Grants”). Table 2 reflects awards proposed to be granted to the Company’s two new non-executive Directors who were appointed in August 2025 and January 2026, respectively (the “Initial Grants”). The material terms of the NED Securities are set forth under the heading “Material Terms of the NED Security Agreements.”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Table 1: NED Securities proposed to be granted as Annual Grants: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Set out below are details of the NED Securities proposed to be granted to each relevant non-executive Director if approved under Proposals 4, 5, 6, 7, 9, and 11 (as applicable).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01"/>
        <w:gridCol w:w="708"/>
        <w:gridCol w:w="2031"/>
        <w:gridCol w:w="708"/>
        <w:gridCol w:w="4957"/>
      </w:tblGrid>
      <w:tr>
        <w:trPr/>
        <w:tc>
          <w:tcPr>
            <w:tcW w:w="18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957"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Non-Executive Director</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b/>
                <w:color w:val="000000"/>
                <w:sz w:val="20"/>
              </w:rPr>
              <w:t>RSUs and Options</w:t>
            </w:r>
            <w:r>
              <w:rPr>
                <w:rFonts w:ascii="Times New Roman" w:hAnsi="Times New Roman"/>
                <w:b/>
                <w:color w:val="000000"/>
                <w:sz w:val="13"/>
              </w:rPr>
              <w:t>(1)</w:t>
            </w:r>
            <w:r>
              <w:rPr>
                <w:rFonts w:ascii="Times New Roman" w:hAnsi="Times New Roman"/>
                <w:color w:val="000000"/>
                <w:sz w:val="20"/>
              </w:rPr>
              <w:t> </w:t>
            </w:r>
            <w:r>
              <w:rPr>
                <w:rFonts w:ascii="Times New Roman" w:hAnsi="Times New Roman"/>
                <w:b/>
                <w:color w:val="000000"/>
                <w:sz w:val="20"/>
              </w:rPr>
              <w:t>to be Granted</w:t>
            </w:r>
            <w:r>
              <w:rPr>
                <w:rFonts w:ascii="Times New Roman" w:hAnsi="Times New Roman"/>
                <w:color w:val="000000"/>
                <w:sz w:val="20"/>
              </w:rPr>
              <w:t xml:space="preserve">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7"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Vesting Schedule</w:t>
            </w:r>
          </w:p>
        </w:tc>
      </w:tr>
      <w:tr>
        <w:trPr/>
        <w:tc>
          <w:tcPr>
            <w:tcW w:w="18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Professor Suzanne Crowe</w:t>
            </w:r>
          </w:p>
        </w:tc>
        <w:tc>
          <w:tcPr>
            <w:tcW w:w="708" w:type="dxa"/>
            <w:tcBorders/>
            <w:tcMar>
              <w:top w:w="0" w:type="dxa"/>
              <w:left w:w="0" w:type="dxa"/>
              <w:bottom w:w="0" w:type="dxa"/>
              <w:right w:w="0" w:type="dxa"/>
            </w:tcMar>
            <w:vAlign w:val="center"/>
          </w:tcPr>
          <w:p>
            <w:pPr>
              <w:pStyle w:val="TableContents"/>
              <w:bidi w:val="0"/>
              <w:spacing w:before="120" w:after="283"/>
              <w:ind w:left="0" w:right="0" w:firstLine="562"/>
              <w:jc w:val="left"/>
              <w:rPr/>
            </w:pPr>
            <w:r>
              <w:rPr/>
              <w:t> </w:t>
            </w:r>
          </w:p>
        </w:tc>
        <w:tc>
          <w:tcPr>
            <w:tcW w:w="20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72"/>
              <w:jc w:val="left"/>
              <w:rPr>
                <w:rFonts w:ascii="Times New Roman" w:hAnsi="Times New Roman"/>
                <w:color w:val="000000"/>
                <w:sz w:val="20"/>
              </w:rPr>
            </w:pPr>
            <w:r>
              <w:rPr>
                <w:rFonts w:ascii="Times New Roman" w:hAnsi="Times New Roman"/>
                <w:color w:val="000000"/>
                <w:sz w:val="20"/>
              </w:rPr>
              <w:t>22,214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sz w:val="4"/>
                <w:szCs w:val="4"/>
              </w:rPr>
            </w:pPr>
            <w:r>
              <w:rPr>
                <w:sz w:val="4"/>
                <w:szCs w:val="4"/>
              </w:rPr>
            </w:r>
          </w:p>
        </w:tc>
        <w:tc>
          <w:tcPr>
            <w:tcW w:w="4957"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957"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16,133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4957" w:type="dxa"/>
            <w:tcBorders>
              <w:bottom w:val="single" w:sz="4" w:space="0" w:color="000000"/>
            </w:tcBorders>
            <w:tcMar>
              <w:top w:w="0" w:type="dxa"/>
              <w:left w:w="0" w:type="dxa"/>
              <w:right w:w="0"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801"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739"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665"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3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22,214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57"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957"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16,133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4957" w:type="dxa"/>
            <w:tcBorders>
              <w:bottom w:val="single" w:sz="4" w:space="0" w:color="000000"/>
            </w:tcBorders>
            <w:tcMar>
              <w:top w:w="0" w:type="dxa"/>
              <w:left w:w="0" w:type="dxa"/>
              <w:right w:w="0"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801"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739"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665"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3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22,214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57"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49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3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16,133 Options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57" w:type="dxa"/>
            <w:tcBorders/>
            <w:tcMar>
              <w:top w:w="0" w:type="dxa"/>
              <w:left w:w="0" w:type="dxa"/>
              <w:bottom w:w="0" w:type="dxa"/>
              <w:right w:w="0"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pPr>
            <w:r>
              <w:rPr/>
              <w:t> </w:t>
            </w:r>
          </w:p>
        </w:tc>
        <w:tc>
          <w:tcPr>
            <w:tcW w:w="2739"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pPr>
            <w:r>
              <w:rPr/>
              <w:t> </w:t>
            </w:r>
          </w:p>
        </w:tc>
        <w:tc>
          <w:tcPr>
            <w:tcW w:w="5665"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9"/>
        <w:gridCol w:w="708"/>
        <w:gridCol w:w="1255"/>
        <w:gridCol w:w="708"/>
        <w:gridCol w:w="6085"/>
      </w:tblGrid>
      <w:tr>
        <w:trPr/>
        <w:tc>
          <w:tcPr>
            <w:tcW w:w="14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85" w:type="dxa"/>
            <w:tcBorders/>
            <w:vAlign w:val="center"/>
          </w:tcPr>
          <w:p>
            <w:pPr>
              <w:pStyle w:val="TableContents"/>
              <w:bidi w:val="0"/>
              <w:spacing w:before="0" w:after="283"/>
              <w:jc w:val="left"/>
              <w:rPr>
                <w:sz w:val="4"/>
                <w:szCs w:val="4"/>
              </w:rPr>
            </w:pPr>
            <w:r>
              <w:rPr>
                <w:sz w:val="4"/>
                <w:szCs w:val="4"/>
              </w:rPr>
            </w:r>
          </w:p>
        </w:tc>
      </w:tr>
      <w:tr>
        <w:trPr/>
        <w:tc>
          <w:tcPr>
            <w:tcW w:w="1449" w:type="dxa"/>
            <w:tcBorders>
              <w:top w:val="single" w:sz="4" w:space="0" w:color="000000"/>
            </w:tcBorders>
            <w:tcMar>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op w:val="single" w:sz="4" w:space="0" w:color="000000"/>
            </w:tcBorders>
            <w:tcMar>
              <w:left w:w="0" w:type="dxa"/>
              <w:bottom w:w="0" w:type="dxa"/>
              <w:right w:w="0" w:type="dxa"/>
            </w:tcMar>
            <w:vAlign w:val="center"/>
          </w:tcPr>
          <w:p>
            <w:pPr>
              <w:pStyle w:val="TableContents"/>
              <w:bidi w:val="0"/>
              <w:spacing w:before="0" w:after="283"/>
              <w:ind w:left="0" w:right="0" w:firstLine="72"/>
              <w:jc w:val="left"/>
              <w:rPr/>
            </w:pPr>
            <w:r>
              <w:rPr/>
              <w:t> </w:t>
            </w:r>
          </w:p>
        </w:tc>
        <w:tc>
          <w:tcPr>
            <w:tcW w:w="1255" w:type="dxa"/>
            <w:tcBorders>
              <w:top w:val="single" w:sz="4" w:space="0" w:color="000000"/>
            </w:tcBorders>
            <w:tcMar>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op w:val="single" w:sz="4" w:space="0" w:color="000000"/>
            </w:tcBorders>
            <w:tcMar>
              <w:left w:w="0" w:type="dxa"/>
              <w:bottom w:w="0" w:type="dxa"/>
              <w:right w:w="0" w:type="dxa"/>
            </w:tcMar>
            <w:vAlign w:val="center"/>
          </w:tcPr>
          <w:p>
            <w:pPr>
              <w:pStyle w:val="TableContents"/>
              <w:bidi w:val="0"/>
              <w:spacing w:before="0" w:after="283"/>
              <w:ind w:left="0" w:right="0" w:firstLine="72"/>
              <w:jc w:val="left"/>
              <w:rPr/>
            </w:pPr>
            <w:r>
              <w:rPr/>
              <w:t> </w:t>
            </w:r>
          </w:p>
        </w:tc>
        <w:tc>
          <w:tcPr>
            <w:tcW w:w="608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449"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Jan Stern Reed</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25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22,214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0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449"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60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9"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1255" w:type="dxa"/>
            <w:tcBorders>
              <w:bottom w:val="single" w:sz="4"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16,133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6085" w:type="dxa"/>
            <w:tcBorders>
              <w:bottom w:val="single" w:sz="4" w:space="0" w:color="000000"/>
            </w:tcBorders>
            <w:tcMar>
              <w:top w:w="0" w:type="dxa"/>
              <w:left w:w="0" w:type="dxa"/>
              <w:right w:w="0"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449"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963"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6793"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Michael Tarnoff</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25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22,214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0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449"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255"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6085"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4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1255" w:type="dxa"/>
            <w:tcBorders>
              <w:bottom w:val="single" w:sz="4"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16,133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6085" w:type="dxa"/>
            <w:tcBorders>
              <w:bottom w:val="single" w:sz="4" w:space="0" w:color="000000"/>
            </w:tcBorders>
            <w:tcMar>
              <w:top w:w="0" w:type="dxa"/>
              <w:left w:w="0" w:type="dxa"/>
              <w:right w:w="0"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449"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963"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6793"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Woody</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25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22,214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0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RSUs vest 12 months from the Grant Date</w:t>
            </w:r>
          </w:p>
        </w:tc>
      </w:tr>
      <w:tr>
        <w:trPr/>
        <w:tc>
          <w:tcPr>
            <w:tcW w:w="1449"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255"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6085"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4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16,133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6085" w:type="dxa"/>
            <w:tcBorders>
              <w:bottom w:val="single" w:sz="4" w:space="0" w:color="000000"/>
            </w:tcBorders>
            <w:tcMar>
              <w:top w:w="0" w:type="dxa"/>
              <w:left w:w="0" w:type="dxa"/>
              <w:right w:w="0"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exercise price of $3.77 payable for each share of Common Stock upon exercise of the Options is the closing price of the Common Stock on Nasdaq on the Grant Date (January 20, 2026). The Options will be issued to each non-executive Director if their respective Proposal is approved at this Annual Meeting.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Table 2: NED Securities proposed to be granted as Initial Grants: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Set out below are details of the NED Securities proposed to be granted to each relevant non-executive Director if approved under Proposals 8 and 10 (as applicable).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5"/>
        <w:gridCol w:w="708"/>
        <w:gridCol w:w="1997"/>
        <w:gridCol w:w="708"/>
        <w:gridCol w:w="5017"/>
      </w:tblGrid>
      <w:tr>
        <w:trPr/>
        <w:tc>
          <w:tcPr>
            <w:tcW w:w="177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017" w:type="dxa"/>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Non-Executive Director</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97"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b/>
                <w:color w:val="000000"/>
                <w:sz w:val="20"/>
              </w:rPr>
              <w:t>RSUs and Options</w:t>
            </w:r>
            <w:r>
              <w:rPr>
                <w:rFonts w:ascii="Times New Roman" w:hAnsi="Times New Roman"/>
                <w:b/>
                <w:color w:val="000000"/>
                <w:sz w:val="13"/>
              </w:rPr>
              <w:t xml:space="preserve">(1) </w:t>
            </w:r>
            <w:r>
              <w:rPr>
                <w:rFonts w:ascii="Times New Roman" w:hAnsi="Times New Roman"/>
                <w:b/>
                <w:color w:val="000000"/>
                <w:sz w:val="20"/>
              </w:rPr>
              <w:t>to be Granted</w:t>
            </w:r>
            <w:r>
              <w:rPr>
                <w:rFonts w:ascii="Times New Roman" w:hAnsi="Times New Roman"/>
                <w:color w:val="000000"/>
                <w:sz w:val="20"/>
              </w:rPr>
              <w:t xml:space="preserve">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17"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Vesting Schedule</w:t>
            </w:r>
          </w:p>
        </w:tc>
      </w:tr>
      <w:tr>
        <w:trPr/>
        <w:tc>
          <w:tcPr>
            <w:tcW w:w="177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Dr. Michael Tarnoff</w:t>
            </w:r>
          </w:p>
        </w:tc>
        <w:tc>
          <w:tcPr>
            <w:tcW w:w="708" w:type="dxa"/>
            <w:tcBorders/>
            <w:tcMar>
              <w:top w:w="0" w:type="dxa"/>
              <w:left w:w="0" w:type="dxa"/>
              <w:bottom w:w="0" w:type="dxa"/>
              <w:right w:w="0" w:type="dxa"/>
            </w:tcMar>
            <w:vAlign w:val="center"/>
          </w:tcPr>
          <w:p>
            <w:pPr>
              <w:pStyle w:val="TableContents"/>
              <w:bidi w:val="0"/>
              <w:spacing w:before="120" w:after="283"/>
              <w:ind w:left="0" w:right="0" w:firstLine="562"/>
              <w:jc w:val="left"/>
              <w:rPr/>
            </w:pPr>
            <w:r>
              <w:rPr/>
              <w:t> </w:t>
            </w:r>
          </w:p>
        </w:tc>
        <w:tc>
          <w:tcPr>
            <w:tcW w:w="1997"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72"/>
              <w:jc w:val="left"/>
              <w:rPr>
                <w:rFonts w:ascii="Times New Roman" w:hAnsi="Times New Roman"/>
                <w:color w:val="000000"/>
                <w:sz w:val="20"/>
              </w:rPr>
            </w:pPr>
            <w:r>
              <w:rPr>
                <w:rFonts w:ascii="Times New Roman" w:hAnsi="Times New Roman"/>
                <w:color w:val="000000"/>
                <w:sz w:val="20"/>
              </w:rPr>
              <w:t>26,250 RSUs</w:t>
            </w:r>
          </w:p>
        </w:tc>
        <w:tc>
          <w:tcPr>
            <w:tcW w:w="708" w:type="dxa"/>
            <w:tcBorders/>
            <w:tcMar>
              <w:top w:w="0" w:type="dxa"/>
              <w:left w:w="0" w:type="dxa"/>
              <w:bottom w:w="0" w:type="dxa"/>
              <w:right w:w="0" w:type="dxa"/>
            </w:tcMar>
            <w:vAlign w:val="center"/>
          </w:tcPr>
          <w:p>
            <w:pPr>
              <w:pStyle w:val="TableContents"/>
              <w:bidi w:val="0"/>
              <w:spacing w:before="120" w:after="283"/>
              <w:ind w:left="0" w:right="0" w:firstLine="562"/>
              <w:jc w:val="left"/>
              <w:rPr/>
            </w:pPr>
            <w:r>
              <w:rPr/>
              <w:t> </w:t>
            </w:r>
          </w:p>
        </w:tc>
        <w:tc>
          <w:tcPr>
            <w:tcW w:w="5017"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RSUs vest 12 months from the date granted</w:t>
            </w:r>
          </w:p>
        </w:tc>
      </w:tr>
      <w:tr>
        <w:trPr/>
        <w:tc>
          <w:tcPr>
            <w:tcW w:w="1775"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997"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017"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7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1997" w:type="dxa"/>
            <w:tcBorders>
              <w:bottom w:val="single" w:sz="4" w:space="0" w:color="000000"/>
            </w:tcBorders>
            <w:shd w:fill="FFFFFF" w:val="clear"/>
            <w:tcMar>
              <w:top w:w="0" w:type="dxa"/>
              <w:left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19,063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5017" w:type="dxa"/>
            <w:tcBorders>
              <w:bottom w:val="single" w:sz="4" w:space="0" w:color="000000"/>
            </w:tcBorders>
            <w:tcMar>
              <w:top w:w="0" w:type="dxa"/>
              <w:left w:w="0" w:type="dxa"/>
              <w:right w:w="0"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Times New Roman" w:hAnsi="Times New Roman"/>
                <w:color w:val="000000"/>
                <w:sz w:val="20"/>
              </w:rPr>
            </w:pPr>
            <w:r>
              <w:rPr>
                <w:rFonts w:ascii="Times New Roman" w:hAnsi="Times New Roman"/>
                <w:color w:val="000000"/>
                <w:sz w:val="20"/>
              </w:rPr>
              <w:t>Options vest 12 months from the date granted with an expiration date of ten years from the date granted</w:t>
            </w:r>
          </w:p>
        </w:tc>
      </w:tr>
      <w:tr>
        <w:trPr/>
        <w:tc>
          <w:tcPr>
            <w:tcW w:w="1775"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705"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725"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Woody</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997"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40,547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5017"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RSUs vest 12 months from the date granted</w:t>
            </w:r>
          </w:p>
        </w:tc>
      </w:tr>
      <w:tr>
        <w:trPr/>
        <w:tc>
          <w:tcPr>
            <w:tcW w:w="1775"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997"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017"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7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1997" w:type="dxa"/>
            <w:tcBorders>
              <w:bottom w:val="single" w:sz="4" w:space="0" w:color="000000"/>
            </w:tcBorders>
            <w:shd w:fill="FFFFFF" w:val="clear"/>
            <w:tcMar>
              <w:top w:w="0" w:type="dxa"/>
              <w:left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29,446 Options</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5017" w:type="dxa"/>
            <w:tcBorders>
              <w:bottom w:val="single" w:sz="4" w:space="0" w:color="000000"/>
            </w:tcBorders>
            <w:tcMar>
              <w:top w:w="0" w:type="dxa"/>
              <w:left w:w="0" w:type="dxa"/>
              <w:right w:w="0"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Times New Roman" w:hAnsi="Times New Roman"/>
                <w:color w:val="000000"/>
                <w:sz w:val="20"/>
              </w:rPr>
            </w:pPr>
            <w:r>
              <w:rPr>
                <w:rFonts w:ascii="Times New Roman" w:hAnsi="Times New Roman"/>
                <w:color w:val="000000"/>
                <w:sz w:val="20"/>
              </w:rPr>
              <w:t>Options vest 12 months from the date granted with an expiration date of ten years from the date granted</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exercise price of $5.36 (for Dr. Tarnoff) and $3.47 (for Mr. Woody) payable for each share of Common Stock upon exercise of the Options is the closing price of the Common Stock on Nasdaq on the dates they were granted (August 6, 2025 for Dr. Tarnoff and January 5, 2026 for Mr. Woody). The Options will be issued to each non-executive Director if their respective Proposal is approved at this Annual Meeting.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Calculation of the number of NED Securities to be granted under the Annual Grants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noted above, it is proposed that, subject to stockholder approval at the Annual Meeting, each of the non-executive Directors will be granted RSUs to acquire shares of Common Stock equal in value to $83,750 (as of the Grant Date) and options to acquire shares of Common Stock equal in value to $41,250 (as of the Grant Date).</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number of NED Securities to be granted to each of the non-executive Directors under the Annual Grants on the Grant Date was determined at a special joint meeting of the Board and its Human Capital and Compensation Committee on January 5, 2026, in accordance with the following formula: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RSUs: </w:t>
      </w:r>
      <w:r>
        <w:rPr>
          <w:rFonts w:ascii="Times New Roman" w:hAnsi="Times New Roman"/>
          <w:color w:val="231F20"/>
          <w:sz w:val="20"/>
        </w:rPr>
        <w:t xml:space="preserve">R = A / B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10022" w:type="dxa"/>
        <w:jc w:val="left"/>
        <w:tblInd w:w="0" w:type="dxa"/>
        <w:tblLayout w:type="fixed"/>
        <w:tblCellMar>
          <w:top w:w="28" w:type="dxa"/>
          <w:left w:w="28" w:type="dxa"/>
          <w:bottom w:w="28" w:type="dxa"/>
          <w:right w:w="28" w:type="dxa"/>
        </w:tblCellMar>
      </w:tblPr>
      <w:tblGrid>
        <w:gridCol w:w="256"/>
        <w:gridCol w:w="9766"/>
      </w:tblGrid>
      <w:tr>
        <w:trPr/>
        <w:tc>
          <w:tcPr>
            <w:tcW w:w="256" w:type="dxa"/>
            <w:tcBorders/>
            <w:vAlign w:val="center"/>
          </w:tcPr>
          <w:p>
            <w:pPr>
              <w:pStyle w:val="TableContents"/>
              <w:bidi w:val="0"/>
              <w:spacing w:before="0" w:after="283"/>
              <w:jc w:val="left"/>
              <w:rPr>
                <w:sz w:val="4"/>
                <w:szCs w:val="4"/>
              </w:rPr>
            </w:pPr>
            <w:r>
              <w:rPr>
                <w:sz w:val="4"/>
                <w:szCs w:val="4"/>
              </w:rPr>
            </w:r>
          </w:p>
        </w:tc>
        <w:tc>
          <w:tcPr>
            <w:tcW w:w="9766"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RSUs to be issued to the relevant non-executive Director rounded down to the nearest whole RSU</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$83,750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of the Company’s shares of Common Stock on Nasdaq on the Grant Date</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options: </w:t>
      </w:r>
      <w:r>
        <w:rPr>
          <w:rFonts w:ascii="Times New Roman" w:hAnsi="Times New Roman"/>
          <w:color w:val="231F20"/>
          <w:sz w:val="20"/>
        </w:rPr>
        <w:t>O = X / Y</w:t>
      </w:r>
      <w:r>
        <w:rPr>
          <w:rFonts w:ascii="Times New Roman" w:hAnsi="Times New Roman"/>
          <w:color w:val="231F20"/>
          <w:sz w:val="13"/>
        </w:rPr>
        <w:t>1</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9949"/>
      </w:tblGrid>
      <w:tr>
        <w:trPr/>
        <w:tc>
          <w:tcPr>
            <w:tcW w:w="256" w:type="dxa"/>
            <w:tcBorders/>
            <w:vAlign w:val="center"/>
          </w:tcPr>
          <w:p>
            <w:pPr>
              <w:pStyle w:val="TableContents"/>
              <w:bidi w:val="0"/>
              <w:spacing w:before="0" w:after="283"/>
              <w:jc w:val="left"/>
              <w:rPr>
                <w:sz w:val="4"/>
                <w:szCs w:val="4"/>
              </w:rPr>
            </w:pPr>
            <w:r>
              <w:rPr>
                <w:sz w:val="4"/>
                <w:szCs w:val="4"/>
              </w:rPr>
            </w:r>
          </w:p>
        </w:tc>
        <w:tc>
          <w:tcPr>
            <w:tcW w:w="9949"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options to be issued to the relevant non-executive Director rounded down to the nearest whole option</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9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$41,250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of the Company’s shares of Common Stock on Nasdaq on the Grant Date</w:t>
            </w:r>
          </w:p>
        </w:tc>
      </w:tr>
    </w:tbl>
    <w:p>
      <w:pPr>
        <w:pStyle w:val="TextBody"/>
        <w:bidi w:val="0"/>
        <w:spacing w:before="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Calculation of the number of NED Securities to be granted under the Initial Grants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noted above, it is proposed that, subject to stockholder approval at the Annual Meeting, Dr. Tarnoff and Mr. Woody will be granted RSUs to acquire shares of Common Stock equal in value to $140,700 (as of the date granted) and options to acquire shares of Common Stock equal in value to $69,300 (as of the date granted).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The number of NED Securities to be granted to Dr. Tarnoff as his Initial Grant was determined at the Board’s meeting on August 6</w:t>
      </w:r>
      <w:r>
        <w:rPr>
          <w:rFonts w:ascii="Times New Roman" w:hAnsi="Times New Roman"/>
          <w:color w:val="231F20"/>
          <w:sz w:val="13"/>
        </w:rPr>
        <w:t>th</w:t>
      </w:r>
      <w:r>
        <w:rPr>
          <w:rFonts w:ascii="Times New Roman" w:hAnsi="Times New Roman"/>
          <w:color w:val="231F20"/>
          <w:sz w:val="20"/>
        </w:rPr>
        <w:t>, 2025; the number of NED Securities to be granted to Mr. Woody as his Initial Grant was determined at a special joint meeting of the Board and its Human Capital and Compensation Committee on January 5, 2026. Each of these Initial Grants was determined in accordance with the following formula: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RSUs: </w:t>
      </w:r>
      <w:r>
        <w:rPr>
          <w:rFonts w:ascii="Times New Roman" w:hAnsi="Times New Roman"/>
          <w:color w:val="231F20"/>
          <w:sz w:val="20"/>
        </w:rPr>
        <w:t xml:space="preserve">R = A / B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10022" w:type="dxa"/>
        <w:jc w:val="left"/>
        <w:tblInd w:w="0" w:type="dxa"/>
        <w:tblLayout w:type="fixed"/>
        <w:tblCellMar>
          <w:top w:w="28" w:type="dxa"/>
          <w:left w:w="28" w:type="dxa"/>
          <w:bottom w:w="28" w:type="dxa"/>
          <w:right w:w="28" w:type="dxa"/>
        </w:tblCellMar>
      </w:tblPr>
      <w:tblGrid>
        <w:gridCol w:w="256"/>
        <w:gridCol w:w="9766"/>
      </w:tblGrid>
      <w:tr>
        <w:trPr/>
        <w:tc>
          <w:tcPr>
            <w:tcW w:w="256" w:type="dxa"/>
            <w:tcBorders/>
            <w:vAlign w:val="center"/>
          </w:tcPr>
          <w:p>
            <w:pPr>
              <w:pStyle w:val="TableContents"/>
              <w:bidi w:val="0"/>
              <w:spacing w:before="0" w:after="283"/>
              <w:jc w:val="left"/>
              <w:rPr>
                <w:sz w:val="4"/>
                <w:szCs w:val="4"/>
              </w:rPr>
            </w:pPr>
            <w:r>
              <w:rPr>
                <w:sz w:val="4"/>
                <w:szCs w:val="4"/>
              </w:rPr>
            </w:r>
          </w:p>
        </w:tc>
        <w:tc>
          <w:tcPr>
            <w:tcW w:w="9766"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RSUs to be issued to the relevant non-executive Director rounded down to the nearest whole RSU</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$140,700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of the Company’s shares of Common Stock on Nasdaq on the date granted</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options: </w:t>
      </w:r>
      <w:r>
        <w:rPr>
          <w:rFonts w:ascii="Times New Roman" w:hAnsi="Times New Roman"/>
          <w:color w:val="231F20"/>
          <w:sz w:val="20"/>
        </w:rPr>
        <w:t>O = X / Y</w:t>
      </w:r>
      <w:r>
        <w:rPr>
          <w:rFonts w:ascii="Times New Roman" w:hAnsi="Times New Roman"/>
          <w:color w:val="231F20"/>
          <w:sz w:val="13"/>
        </w:rPr>
        <w:t>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9949"/>
      </w:tblGrid>
      <w:tr>
        <w:trPr/>
        <w:tc>
          <w:tcPr>
            <w:tcW w:w="256" w:type="dxa"/>
            <w:tcBorders/>
            <w:vAlign w:val="center"/>
          </w:tcPr>
          <w:p>
            <w:pPr>
              <w:pStyle w:val="TableContents"/>
              <w:bidi w:val="0"/>
              <w:spacing w:before="0" w:after="283"/>
              <w:jc w:val="left"/>
              <w:rPr>
                <w:sz w:val="4"/>
                <w:szCs w:val="4"/>
              </w:rPr>
            </w:pPr>
            <w:r>
              <w:rPr>
                <w:sz w:val="4"/>
                <w:szCs w:val="4"/>
              </w:rPr>
            </w:r>
          </w:p>
        </w:tc>
        <w:tc>
          <w:tcPr>
            <w:tcW w:w="9949"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options to be issued to the relevant non-executive Director rounded down to the nearest whole option</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9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$69,300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w:t>
            </w:r>
          </w:p>
        </w:tc>
        <w:tc>
          <w:tcPr>
            <w:tcW w:w="9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of the Company’s shares of Common Stock on Nasdaq on the date granted</w:t>
            </w:r>
          </w:p>
        </w:tc>
      </w:tr>
    </w:tbl>
    <w:p>
      <w:pPr>
        <w:pStyle w:val="TextBody"/>
        <w:bidi w:val="0"/>
        <w:spacing w:before="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NED Securities granted, and proposed to be issued, to each relevant non-executive Director are subject to stockholder approval and the terms and conditions of an RSU agreement (in respect of the RSUs) and an option agreement (in respect of the Options) between the relevant non-executive Director and the Company (the “NED Security Agreements”), the terms of which are summarized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of the Proposals 4 – 11 is a separate proposal to be considered by stockholders independently. In addition, Proposals 4 – 11 are not interdependent proposals, meaning that the approval of one proposal will not impact the outcome of another proposal (e.g., if Proposal 4 is not approved, this does not impact the ability of Proposal 5 to be approved). Accordingly, if only some of the Proposals 4 – 11 are approved by stockholders, those proposals that are approved will remain valid even if certain of the Proposals 4 – 11 are not approved by stockholders. Those non-executive Directors whose respective Annual Grants or Initial Grants are approved at the Annual Meeting (pursuant to the relevant proposal) will be entitled to be granted those NED Securities whereas those non-executive Directors whose respective Annual Grants or Initial Grants are not approved will not be entitled to be granted those NED Securities.</w:t>
      </w:r>
    </w:p>
    <w:p>
      <w:pPr>
        <w:pStyle w:val="TextBody"/>
        <w:bidi w:val="0"/>
        <w:jc w:val="left"/>
        <w:rPr>
          <w:rFonts w:ascii="Times New Roman" w:hAnsi="Times New Roman"/>
          <w:color w:val="000000"/>
          <w:sz w:val="20"/>
        </w:rPr>
      </w:pPr>
      <w:r>
        <w:rPr>
          <w:rFonts w:ascii="Times New Roman" w:hAnsi="Times New Roman"/>
          <w:color w:val="000000"/>
          <w:sz w:val="20"/>
        </w:rPr>
        <w:br/>
        <w:t>_____________________________</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Subject to Black-Scholes modeling.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ASX Listing Rules 7.1 and 10.11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U.S. securities law requirements, the Company's grant and issuance of Equity Securities (as defined in ASX Listing Rule 19.12) is subject to ASX Listing Rules requirements. Specifically, ASX Listing Rule 7.1 prohibits a company from issuing more than 15% of its available securities in any twelve-month period without stockholder approval. Further, ASX Listing Rule 10.11 prohibits a company from issuing or agreeing to issue any Equity Securities to a related party, which includes a Director, without stockholder approval. Thus, stockholder approval of any of the Proposals 4 – 11 allows the Company to issue the NED Securities to the non-executive Directors in compliance with ASX Listing Rule 10.11, and any such issue will not be counted towards the placement capacity restriction under ASX Listing Rule 7.1.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Reasons for the grant of the NED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has approved the proposed grant of the NED Securities in order to promote ownership of the Company by the non-executive Directors and to align their interests with stockholders by linking part of their compensation to the long-term success of the Company and its financial performance. The Board is of the view that the proposed grant of NED Securities to the non-executive Directors named below is a cost-effective method of remuneration that is aligned with market practice and is both reasonable and appropriate.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Material terms of the NED Security Agreements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value, vesting schedules and other terms of the NED Securities noted in the tables above, the following is a summary of other material terms of the NED Security Agreements.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Option Agreements</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Options.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 xml:space="preserve">Exercise Price: </w:t>
      </w:r>
      <w:r>
        <w:rPr>
          <w:rFonts w:ascii="Times New Roman" w:hAnsi="Times New Roman"/>
          <w:color w:val="000000"/>
          <w:sz w:val="20"/>
        </w:rPr>
        <w:t>The exercise price payable for each share of Common Stock subject to the Option is as noted above, which was the closing price of the Common Stock on Nasdaq on the date on which the Option was granted.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 xml:space="preserve">Method of payment of Exercise Price: </w:t>
      </w:r>
      <w:r>
        <w:rPr>
          <w:rFonts w:ascii="Times New Roman" w:hAnsi="Times New Roman"/>
          <w:color w:val="000000"/>
          <w:sz w:val="20"/>
        </w:rPr>
        <w:t xml:space="preserve">Each non-executive Director may pay the applicable exercise price by personal check (or readily available funds), wire transfer, cashier’s check or by consideration received by the Company pursuant to a broker-assisted cashless exercise program implemented by the Administrator (as defined in the agreement) under the AVITA Medical, Inc. Stock Option Grant Agreement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 xml:space="preserve">Option term: </w:t>
      </w:r>
      <w:r>
        <w:rPr>
          <w:rFonts w:ascii="Times New Roman" w:hAnsi="Times New Roman"/>
          <w:color w:val="000000"/>
          <w:sz w:val="20"/>
        </w:rPr>
        <w:t xml:space="preserve">The Options will expire at the close of business at the Company’s headquarters on the applicable expiration date (being 10 years from the grant date of the relevant Option), unless the relevant Option Agreement terminates earlier in connection with the non-executive Director no longer serving as a Director of the Company or in the event of a change of control occurring with respect to the Company.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 xml:space="preserve">Shares of Common Stock (and not CDIs) issued under a cashless exercise: </w:t>
      </w:r>
      <w:r>
        <w:rPr>
          <w:rFonts w:ascii="Times New Roman" w:hAnsi="Times New Roman"/>
          <w:color w:val="000000"/>
          <w:sz w:val="20"/>
        </w:rPr>
        <w:t xml:space="preserve">Where a cashless exercise program is implemented, only shares of Common Stock (and not CDIs) may be issued to the non-executive Director.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Options (which are entirely time-based) are set out in Table 1 above. Once an Option has vested it may be exercised at any time during the Option term applicable to it unless it otherwise lapses or is forfeited pursuant to the terms of the Option Agreement.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rFonts w:ascii="Times New Roman" w:hAnsi="Times New Roman"/>
          <w:i/>
          <w:color w:val="000000"/>
          <w:sz w:val="20"/>
        </w:rPr>
        <w:t xml:space="preserve">Lapsing on cessation as a Director: </w:t>
      </w:r>
      <w:r>
        <w:rPr>
          <w:rFonts w:ascii="Times New Roman" w:hAnsi="Times New Roman"/>
          <w:color w:val="000000"/>
          <w:sz w:val="20"/>
        </w:rPr>
        <w:t xml:space="preserve">If a non-executive Director ceases to be a Director of the Company prior to the relevant expiration date 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Human Capital and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h)</w:t>
      </w:r>
    </w:p>
    <w:p>
      <w:pPr>
        <w:pStyle w:val="TextBody"/>
        <w:bidi w:val="0"/>
        <w:spacing w:before="100" w:after="283"/>
        <w:jc w:val="left"/>
        <w:rPr/>
      </w:pPr>
      <w:r>
        <w:rPr>
          <w:rFonts w:ascii="Times New Roman" w:hAnsi="Times New Roman"/>
          <w:i/>
          <w:color w:val="000000"/>
          <w:sz w:val="20"/>
        </w:rPr>
        <w:t xml:space="preserve">Subject to the ASX Listing Rules: </w:t>
      </w:r>
      <w:r>
        <w:rPr>
          <w:rFonts w:ascii="Times New Roman" w:hAnsi="Times New Roman"/>
          <w:color w:val="000000"/>
          <w:sz w:val="20"/>
        </w:rPr>
        <w:t xml:space="preserve">While the Company is subject to the ASX Listing Rules, there are additional restrictions that will apply to 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Rules or by a waiver granted by the ASX).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0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or the Company’s stockholders and subject to compliance with, and to the extent permitted by, all Applicable Laws (as defined in the Option Agreement), be 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Human Capital and Compensation Committee and in accordance with the ASX Listing Rules. Such adjustments may provide for the elimination of fractional shares that may otherwise be subject to the Option grant without any payment.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j)</w:t>
      </w:r>
    </w:p>
    <w:p>
      <w:pPr>
        <w:pStyle w:val="TextBody"/>
        <w:bidi w:val="0"/>
        <w:spacing w:before="100" w:after="283"/>
        <w:jc w:val="left"/>
        <w:rPr/>
      </w:pPr>
      <w:r>
        <w:rPr>
          <w:rFonts w:ascii="Times New Roman" w:hAnsi="Times New Roman"/>
          <w:i/>
          <w:color w:val="000000"/>
          <w:sz w:val="20"/>
        </w:rPr>
        <w:t xml:space="preserve">Minimum number of shares of Common Stock: </w:t>
      </w:r>
      <w:r>
        <w:rPr>
          <w:rFonts w:ascii="Times New Roman" w:hAnsi="Times New Roman"/>
          <w:color w:val="000000"/>
          <w:sz w:val="20"/>
        </w:rPr>
        <w:t xml:space="preserve">The Options granted to each non-executive Director under the Option Agreement may be exercised on multiple occasions during the Option term, however the Company may impose a minimum number of shares of Common Stock in respect of which the Option may be exercised at any one time.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k)</w:t>
      </w:r>
    </w:p>
    <w:p>
      <w:pPr>
        <w:pStyle w:val="TextBody"/>
        <w:bidi w:val="0"/>
        <w:spacing w:before="10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in Control (as that term is defined in the Option Agreement), any unvested portion of the relevant Option outstanding as of immediately prior to the change in control will vest in full as of the change in control. </w:t>
      </w:r>
    </w:p>
    <w:p>
      <w:pPr>
        <w:pStyle w:val="TextBody"/>
        <w:bidi w:val="0"/>
        <w:spacing w:before="120" w:after="283"/>
        <w:jc w:val="left"/>
        <w:rPr>
          <w:rFonts w:ascii="Times New Roman" w:hAnsi="Times New Roman"/>
          <w:sz w:val="20"/>
        </w:rPr>
      </w:pPr>
      <w:r>
        <w:rPr>
          <w:rFonts w:ascii="Times New Roman" w:hAnsi="Times New Roman"/>
          <w:i/>
          <w:color w:val="000000"/>
          <w:sz w:val="20"/>
        </w:rPr>
        <w:t>RSU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RSUs.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RSUs (which are entirely time based) are set out in Tables 1 and 2; such vesting conditions only apply upon stockholder approval of the RSUs. The Company will issue or transfer shares of Common Stock to the non-executive Director on or as soon as administratively practical (and within 20 business days in accordance with the terms of the RSU agreement) following the relevant vesting date of the RSUs.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 xml:space="preserve">Lapsing on cessation as a Director: </w:t>
      </w:r>
      <w:r>
        <w:rPr>
          <w:rFonts w:ascii="Times New Roman" w:hAnsi="Times New Roman"/>
          <w:color w:val="000000"/>
          <w:sz w:val="20"/>
        </w:rPr>
        <w:t xml:space="preserve">If a non-executive Director’s continuous service as a non-executive Director of the Company terminates for any reason, all unvested RSUs will be forfeited to the Company, and all rights of the non-executive Director to such RSUs will immediately terminate without payment of any consideration to the non-executive Director.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under an RSU will, subject to any required action by the Board or the Company’s stockholders and subject to compliance with, and to the extent permitted by, all Applicable Laws (as defined in the RSU agreement), be 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RSU grant and such other adjustments as are appropriate at the discretion of the Human Capital and Compensation Committee and in accordance with the ASX Listing Rules. Such adjustments may provide for the elimination of fractional shares that may otherwise be subject to RSU grants without any 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in Control (as that term is defined in the RSU agreement), any unvested portion of the relevant RSUs outstanding as of immediately prior to the change in control will vest in full as of the change in control.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Certain U.S. Federal Income Tax Consequences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Proposals 4 – 11 and not for award grantees, is not intended to be complete and does not describe federal taxes other than income taxes, such as Medicare and Social Security taxes, state taxes, local taxes, or foreign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RSUs do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(the “IRS Code”) and is not disallowed by the $1 million limitation on certain executive compensation under Section 162(m) of the IRS Code.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Information required under ASX Listing Rules 10.11 and 10.13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ASX Listing Rules 10.11 and 10.13, the following information is provided: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10.13.1): </w:t>
      </w:r>
      <w:r>
        <w:rPr>
          <w:rFonts w:ascii="Times New Roman" w:hAnsi="Times New Roman"/>
          <w:color w:val="000000"/>
          <w:sz w:val="20"/>
        </w:rPr>
        <w:t xml:space="preserve">The NED Securities have been granted, and are proposed to be issued, to the Company’s non-executive Directors, namely Professor Suzanne Crowe, Jeremy Curnock Cook, Robert McNamara, Jan Stern Reed, Dr. Michael Tarnoff, and Joseph Woody.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10.13.2): </w:t>
      </w:r>
      <w:r>
        <w:rPr>
          <w:rFonts w:ascii="Times New Roman" w:hAnsi="Times New Roman"/>
          <w:color w:val="000000"/>
          <w:sz w:val="20"/>
        </w:rPr>
        <w:t xml:space="preserve">Each of Professor Suzanne Crowe, Jeremy Curnock Cook, Robert McNamara, Jan Stern Reed, Dr. Michael Tarnoff, and Joseph Woody are directors of the Company, and therefore fall into the category under ASX Listing Rule 10.11.1.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10.13.3): </w:t>
      </w:r>
      <w:r>
        <w:rPr>
          <w:rFonts w:ascii="Times New Roman" w:hAnsi="Times New Roman"/>
          <w:color w:val="000000"/>
          <w:sz w:val="20"/>
        </w:rPr>
        <w:t xml:space="preserve">The number and class of securities granted and proposed to be issued to each relevant non-executive Director is set out in Tables 1 and 2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10.13.4 and 10.13.9): </w:t>
      </w:r>
      <w:r>
        <w:rPr>
          <w:rFonts w:ascii="Times New Roman" w:hAnsi="Times New Roman"/>
          <w:color w:val="000000"/>
          <w:sz w:val="20"/>
        </w:rPr>
        <w:t xml:space="preserve">The securities granted and proposed to be issued under Proposals 4 – 11 (inclusive) are the NED Securities, comprised of RSUs and options to acquire fully paid shares of Common Stock, in accordance with the material terms of the NED Security Agreements. The material terms of the NED Securities and Agreements are set out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10.13.5): </w:t>
      </w:r>
      <w:r>
        <w:rPr>
          <w:rFonts w:ascii="Times New Roman" w:hAnsi="Times New Roman"/>
          <w:color w:val="000000"/>
          <w:sz w:val="20"/>
        </w:rPr>
        <w:t xml:space="preserve">Any NED Securities granted, and proposed to be issued, to the relevant non-executive Directors, if approved under Proposals 4 – 11, will be issued on the date of the Annual Meeting, as planned, or if quorum is not achieved and postponement is required to achieve quorum, then the date of the postponed Annual Meeting, if the proposed grants to the non-executive Directors are approved at the Annual Meeting (and in any event, no later than one month after the date of the Annual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10.13.6): </w:t>
      </w:r>
      <w:r>
        <w:rPr>
          <w:rFonts w:ascii="Times New Roman" w:hAnsi="Times New Roman"/>
          <w:color w:val="000000"/>
          <w:sz w:val="20"/>
        </w:rPr>
        <w:t>The Company will receive no form of consideration for the grant of the RSUs (or for the Common Stock to be issued or transferred upon the vesting of the RSUs) or the Options, other than the continued provision of non-executive Director services by the non-executive Directors. In relation to the Options, once vested and upon exercise, the relevant non-executive Director will be required to pay the exercise price. The exercise price for each share of Common Stock to be issued under each Option is the closing price of the Common Stock on Nasdaq on the date the Options were granted</w:t>
      </w:r>
      <w:r>
        <w:rPr>
          <w:rFonts w:ascii="Times New Roman" w:hAnsi="Times New Roman"/>
          <w:b/>
          <w:i/>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10.13.7): </w:t>
      </w:r>
      <w:r>
        <w:rPr>
          <w:rFonts w:ascii="Times New Roman" w:hAnsi="Times New Roman"/>
          <w:color w:val="000000"/>
          <w:sz w:val="20"/>
        </w:rPr>
        <w:t xml:space="preserve">As noted above, the purpose of the grant of the NED Securities proposed to be issued is to promote ownership of the Company by the non-executive Directors and to align their interests with stockholders by linking part of their compensation to the financial performance of the Company and its long-term success.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10.13.8): </w:t>
      </w:r>
      <w:r>
        <w:rPr>
          <w:rFonts w:ascii="Times New Roman" w:hAnsi="Times New Roman"/>
          <w:color w:val="000000"/>
          <w:sz w:val="20"/>
        </w:rPr>
        <w:t xml:space="preserve">The details of each non-executive Director’s current total remuneration package (in U.S. dollars) are set out below.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Non-Executive Director’s Current Total Cash Remuneration Table (as of December 31, 2025):</w:t>
      </w:r>
      <w:r>
        <w:rPr>
          <w:rFonts w:ascii="Times New Roman" w:hAnsi="Times New Roman"/>
          <w:color w:val="000000"/>
          <w:sz w:val="20"/>
        </w:rPr>
        <w:t xml:space="preserve"> </w:t>
      </w:r>
    </w:p>
    <w:p>
      <w:pPr>
        <w:pStyle w:val="TextBody"/>
        <w:bidi w:val="0"/>
        <w:jc w:val="left"/>
        <w:rPr/>
      </w:pPr>
      <w:r>
        <w:rPr/>
        <w:t> </w:t>
      </w:r>
    </w:p>
    <w:tbl>
      <w:tblPr>
        <w:tblW w:w="11518" w:type="dxa"/>
        <w:jc w:val="left"/>
        <w:tblInd w:w="0" w:type="dxa"/>
        <w:tblLayout w:type="fixed"/>
        <w:tblCellMar>
          <w:top w:w="28" w:type="dxa"/>
          <w:left w:w="28" w:type="dxa"/>
          <w:bottom w:w="28" w:type="dxa"/>
          <w:right w:w="28" w:type="dxa"/>
        </w:tblCellMar>
      </w:tblPr>
      <w:tblGrid>
        <w:gridCol w:w="916"/>
        <w:gridCol w:w="146"/>
        <w:gridCol w:w="196"/>
        <w:gridCol w:w="601"/>
        <w:gridCol w:w="146"/>
        <w:gridCol w:w="256"/>
        <w:gridCol w:w="146"/>
        <w:gridCol w:w="511"/>
        <w:gridCol w:w="146"/>
        <w:gridCol w:w="256"/>
        <w:gridCol w:w="146"/>
        <w:gridCol w:w="601"/>
        <w:gridCol w:w="146"/>
        <w:gridCol w:w="256"/>
        <w:gridCol w:w="146"/>
        <w:gridCol w:w="601"/>
        <w:gridCol w:w="146"/>
        <w:gridCol w:w="146"/>
        <w:gridCol w:w="256"/>
        <w:gridCol w:w="146"/>
        <w:gridCol w:w="601"/>
        <w:gridCol w:w="146"/>
        <w:gridCol w:w="269"/>
        <w:gridCol w:w="153"/>
        <w:gridCol w:w="539"/>
        <w:gridCol w:w="146"/>
        <w:gridCol w:w="146"/>
        <w:gridCol w:w="372"/>
        <w:gridCol w:w="359"/>
        <w:gridCol w:w="242"/>
        <w:gridCol w:w="146"/>
        <w:gridCol w:w="256"/>
        <w:gridCol w:w="146"/>
        <w:gridCol w:w="511"/>
        <w:gridCol w:w="146"/>
        <w:gridCol w:w="146"/>
        <w:gridCol w:w="256"/>
        <w:gridCol w:w="146"/>
        <w:gridCol w:w="69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Board Member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Board Chair / Lead Independent Director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Audit Committee Chair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3"/>
              </w:rPr>
            </w:pPr>
            <w:r>
              <w:rPr>
                <w:rFonts w:ascii="Times New Roman" w:hAnsi="Times New Roman"/>
                <w:b/>
                <w:color w:val="000000"/>
                <w:sz w:val="13"/>
              </w:rPr>
              <w:t>Audit Committee</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Member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Human Capital and Compensation Chair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Human Capital and Compensation Member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Nominating and Corporate Governance Chair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Nominating and Corporate Governance Member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Jan Stern Reed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Professor Suzanne Crowe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Jeremy Curnock Cook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Robert McNamara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Lou Panaccio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Dr. Michael Tarnoff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Cary Vance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Ms. Reed was appointed by the Board to serve as Lead Independent Director on October 16,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Panaccio resigned as Chairman of the Board of Directors in its third quarter 2025 meeting on August 6, 2025, with December 31, 2025 as his last day of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Tarnoff was appointed to the Board on August 6, 2025 and appointed Human Capital and Compensation Committee Chair on November 5,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Vance was appointed Chairman of the Board in its third quarter 2025 meeting on August 6, 2025. Mr. Vance was appointed as our Interim CEO on October 16, 2025. While he maintained his position as Chairman of the Board, as an executive Director, he ceased receiving compensation for his service on our Board as of that date.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Recommendations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Professor Suzanne Crowe, who abstains given her personal interest in Proposal 4) recommends that stockholders vote “FOR” Proposal 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Jeremy Curnock Cook, who abstains given his personal interest in Proposal 5) recommends that stockholders vote “FOR” Proposal 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Robert McNamara, who abstains given his personal interest in Proposal 6) recommends that stockholders vote “FOR” Proposal 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Jan Stern Reed, who abstains given her personal interest in Proposal 7) recommends that stockholders vote “FOR” Proposal 7.</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Dr. Michael Tarnoff, who abstains given his personal interest in Proposal 8) recommends that stockholders vote “FOR” Proposal 8.</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Dr. Michael Tarnoff, who abstains given his personal interest in Proposal 9) recommends that stockholders vote “FOR” Proposal 9.</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Joseph Woody, who abstains given his personal interest in Proposal 10) recommends that stockholders vote “FOR” Proposal 10.</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Joseph Woody, who abstains given his personal interest in Proposal 11) recommends that stockholders vote “FOR” Proposal 11.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Proposals 4 – 11 (inclusive) are not interdependent proposals. Accordingly, if only some of Proposals 4 – 11 are approved by stockholders, those proposals that are approved will remain valid even if certain of Proposals 4 – 11 are not approved by stockholders. If this occurs, those non-executive Directors who have the grant of any NED Securities to them approved will be granted those NED Securities. Those non-executive Directors who do not have the grant of NED Securities to them approved will not be entitled to be granted those NED Securities.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Approval of each of Proposals 4 – 11 requires the affirmative vote of the holders of a majority of the voting power of the Common Stock present in person or represented by proxy at the Annual Meeting and entitled to vote on the relevant Proposal. Abstentions will have the same effect as votes “AGAINST” these Proposals 4 - 11. Broker non-votes will have no effect on the voting for these Proposals 4 - 11.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Exclusion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disregard any votes cast in favor of: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4 by or on behalf of Professor Suzanne Crowe or any of her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5 by or on behalf of Jeremy Curnock Cook or any of his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6 by or on behalf of Robert McNamara or any of his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7 by or on behalf of Jan Stern Reed or any of her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Proposals 8 or 9 by or on behalf of Dr. Michael Tarnoff or any of his associates;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Proposals 10 or 11 by or on behalf of Joseph Woody or any of his associates;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any other person who will obtain a material benefit as a result of the issue of the securities under the relevant Proposal (except a benefit solely by reason of being a holder of the Company’s shares of Common Stock (or CDI(s))).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the Company need not disregard a vote cast in favor of any of Proposals 4 – 11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person as proxy or attorney for a person who is entitled to vote on the relevant Proposal, in accordance with directions given to the proxy or attorney;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chair of the Annual Meeting as proxy or attorney for a person who is entitled to vote on the relevant Proposal, in accordance with a direction given to the chair to vote on the relevant Proposal as the chair decides;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holder acting solely in a nominee, trustee, custodial or other fiduciary capacity on behalf of a beneficiary provided the following conditions are met: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beneficiary provides written confirmation to the holder that the beneficiary is not excluded from voting, and is not an associate of a person excluded from voting, on the relevant Proposal;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votes on the relevant proposal in accordance with directions given by the beneficiary to the holder.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0" w:name="proposal_12"/>
      <w:bookmarkEnd w:id="40"/>
      <w:r>
        <w:rPr>
          <w:rFonts w:ascii="Times New Roman" w:hAnsi="Times New Roman"/>
          <w:b/>
          <w:color w:val="000000"/>
          <w:sz w:val="20"/>
        </w:rPr>
        <w:t>Prop</w:t>
      </w:r>
      <w:bookmarkStart w:id="41" w:name="proposal_no_9"/>
      <w:bookmarkEnd w:id="41"/>
      <w:r>
        <w:rPr>
          <w:rFonts w:ascii="Times New Roman" w:hAnsi="Times New Roman"/>
          <w:b/>
          <w:color w:val="000000"/>
          <w:sz w:val="20"/>
        </w:rPr>
        <w:t>osal 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ADVISORY VOTE ON OUR NAMED EXECUTIVE OFFICER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Dodd-Frank Act provides stockholders with the opportunity to vote, on an advisory basis, to approve the Company’s compensation policies (known as the “say-on-pay” vote). The Board believes that the Company’s compensation policies and procedures are aligned with the long-term interests of its stockholders. As described in the Executive Compensation discussion above, the Company believes that its compensation program is designed to support its long-term business strategies and create stockholder value through its pay-for-performance program. You are encouraged to read this Executive Compensation discussion for additional details on the Company’s executive compensation, including its philosophy and objectives, and the 2025 compensation of its named executive officers. This non-binding advisory “say-on-pay” vote gives you as a stockholder the opportunity to endorse the Company’s executive compensation program through the following resolution: </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RESOLVED, that the compensation paid to the Company’s named executive officers as disclosed pursuant to Item 402 of Regulation S-K, including the Executive Compensation discussion, compensation tables, and narrative discussion contained in this Proxy Statement is hereby APPROVED.”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an advisory vote, this Proposal is non-binding. However, the Board and the Human Capital and Compensation Committee value the opinions of the Company’s stockholders and will consider the outcome of the vote when making future compensation decisions for its named executive officers. The Company submits this “say-on-pay” proposal to stockholders on an annual basis.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non-binding, advisory approval of the compensation of our named executive officers, as disclosed in the Executive Compensation discussion section in this Proxy Statement, requires the affirmative vote of the holders of a majority of the voting power of the Common Stock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recommends a vote “FOR” the approval, on an advisory basis, of the compensation of the Company’s named executive officers.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2" w:name="proposal_13"/>
      <w:bookmarkStart w:id="43" w:name="proposal_no_10"/>
      <w:bookmarkEnd w:id="42"/>
      <w:bookmarkEnd w:id="43"/>
      <w:r>
        <w:rPr>
          <w:rFonts w:ascii="Times New Roman" w:hAnsi="Times New Roman"/>
          <w:b/>
          <w:color w:val="000000"/>
          <w:sz w:val="20"/>
        </w:rPr>
        <w:t>Proposal 13</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ADVISORY VOTE ON THE FREQUENCY (EVERY ONE, TWO, OR THREE YEARS) OF FUTURE ADVISORY VOTES TO APPROVE OF EXECUTIVE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Dodd-Frank Act also provides stockholders with the opportunity to vote, on an advisory basis, as to the frequency of stockholder advisory “say-on-pay” votes such as that detailed in Proposal 12 above. You may abstain from voting, or you may select a recommendation as to the frequency of such votes: every one year, two years, or three years. This non-binding advisory vote gives you as a stockholder the opportunity to select a frequency of “say-on-pay” votes.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an advisory vote, this proposal is non-binding. However, the Board and the Human Capital and Compensation Committee value the opinions of stockholders and will consider the outcome of the vote when determining the frequency of “say-on-pay” votes. Nevertheless, the Board may decide to hold a non-binding advisory vote on future compensation of future named executive officers more or less frequently than the option voted by the shareholders.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has considered this matter and has determined that a non-binding advisory vote on executive compensation every year is appropriate to provide stockholders the opportunity to inform the Company of their opinion of our approach to compensation policies and practices, after having sufficient time to observe its impact on our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Vote Required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this non-binding advisory vote on the frequency of future non-binding advisory votes on named executive officer compensation, stockholders will be able to specify one of four choices for this proposal on the proxy card or voting instruction: ONE YEAR, TWO YEARS, THREE YEARS, or ABSTAIN. The option receiving the affirmative vote of the holders of a majority of the voting power of Common Stock present in person or represented by proxy at the Annual Meeting will be approved on a non-binding, advisory basis. Abstentions will have the same effect as votes “AGAINST” this Proposal, whereas broker non-votes will not be counted for the purposes of determining whether this advisory proposal has been approved.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recommends a vote of “ONE YEAR” with respect to the advisory vote on the frequency of future advisory votes to approve named executive officer compensation.</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4" w:name="proposal_14"/>
      <w:bookmarkStart w:id="45" w:name="proposal_no_11"/>
      <w:bookmarkEnd w:id="44"/>
      <w:bookmarkEnd w:id="45"/>
      <w:r>
        <w:rPr>
          <w:rFonts w:ascii="Times New Roman" w:hAnsi="Times New Roman"/>
          <w:b/>
          <w:color w:val="000000"/>
          <w:sz w:val="20"/>
        </w:rPr>
        <w:t>Proposal 14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APPROVAL OF THE AGREEMENT TO ISSUE A WARRANT OR WARRANTS COVERING UP TO 650,000 SHARES OF COMMON STOCK OF THE COMPANY IN CONNECTION WITH THE CREDIT AGREEMENT AND GUARANTY BETWEEN THE COMPANY AND PERCEPTIVE CREDIT HOLDINGS V, LP</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231F20"/>
          <w:sz w:val="20"/>
        </w:rPr>
        <w:t xml:space="preserve">On December 9, 2025, the Board approved the Company’s negotiation of and entry into a credit facility to refinance its existing debt. On January 13, 2026 (the “Closing Date”), the Company </w:t>
      </w:r>
      <w:r>
        <w:rPr>
          <w:rFonts w:ascii="Times New Roman" w:hAnsi="Times New Roman"/>
          <w:color w:val="000000"/>
          <w:sz w:val="20"/>
        </w:rPr>
        <w:t>entered into a Credit Agreement and Guaranty (the “Credit Agreement”) by and among the Company, as borrower, AVITA Medical Americas, LLC, a wholly-owned subsidiary of the Company, as guarantor, and Perceptive Credit Holdings V, LP as a lender and the administrative agent (the “Lender”). The Credit Agreement provides for a five-year senior secured credit facility in an aggregate principal amount of up to $60 million (the “Loan Facility”), of which (i) $50 million was funded on the Closing Date (the “Initial Commitment Amount”) and (ii) $10 million will be made available, at our discretion by notice to the Lender on or before March 31, 2027, subject to satisfaction of a certain net revenue requirement (the “Additional Commitment Amount”). On the Closing Date, simultaneously with closing on the Initial Commitment Amount, we repaid in full and terminated all of the obligations (other than previously issued warrants) under the prior credit agreement between the Company and ORCO IV, LLC. The Credit Agreement’s terms are materially more favorable than those of the prior credit agreement; in particular, the trailing twelve-month revenue covenants and the minimum cash balance covenant are less restrictive. The Credit Agreement’s terms, reviewed and approved by our Board, are better aligned with our operating trajectory.</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 copy of the Credit Agreement is contained in Annexure A to this Proxy Statement and was previously disclosed by the Company on a Current Report on Form 8-K filed with the SEC on January 13, 2026 and lodged on ASX on January 15, 2026.</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Under the Credit Agreement, the Company is obligated to use reasonable best efforts to seek stockholder approval to issue a warrant covering 500,000 shares of the Common Stock to the Lender (the “Initial Warrant”). In the event the Company elects to borrow the Additional Commitment Amount, the Company is obligated to issue an additional warrant covering 150,000 shares of the Common Stock (the “Additional Warrant” and, together with the Initial Warrant, the “Warrants”). So long as the Company issues the Initial Warrant by September 30, 2026, the exit fee of $2,000,000 that the Company would otherwise be obligated to pay upon repayment of the Loan Facility will be reduced to $0. If the Company fails to issue the Initial Warrant before November 30, 2026, the Company will be in default of the Credit Agreement, and the Lender may immediately terminate the Loan Facility and demand immediate and complete repayment of all amounts borrowed or otherwise owing thereunder.</w:t>
      </w:r>
    </w:p>
    <w:p>
      <w:pPr>
        <w:pStyle w:val="TextBody"/>
        <w:bidi w:val="0"/>
        <w:jc w:val="left"/>
        <w:rPr>
          <w:rFonts w:ascii="Times New Roman" w:hAnsi="Times New Roman"/>
          <w:color w:val="231F20"/>
          <w:sz w:val="20"/>
        </w:rPr>
      </w:pPr>
      <w:r>
        <w:rPr>
          <w:rFonts w:ascii="Times New Roman" w:hAnsi="Times New Roman"/>
          <w:color w:val="231F20"/>
          <w:sz w:val="20"/>
        </w:rPr>
        <w:br/>
        <w:t xml:space="preserve">If the Initial Warrant is issued, upon exercise by Perceptive, the total number of shares of Common Stock issued and outstanding will increase by 500,000 shares. If the Additional Warrant is issued, the total number of shares of Common Stock issued and outstanding will be increased by an additional 150,000 shares when Perceptive exercises the Additional Warrant. As of December 31, 2025, with total issued and outstanding shares of 30,571,662 of Common Stock, the existing stockholders will be diluted by approximately 1.6% if the Initial Warrant is issued to, and exercised by, Perceptive. If the Additional Warrant is issued to, and exercised by, Perceptive, based on the total issued and outstanding shares of Common Stock as of December 31, 2025, and the assumption that the Initial Warrant is issued to, and exercised by, Perceptive, the existing stockholders will be diluted by approximately an additional 0.5%. If Perceptive elects to exercise the Warrants on a cash basis, the Company will use funds received from such exercise for general corporate purposes.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For the reasons explained above, the Board believes that the Credit Agreement (together with the issuance of the Warrants) positions the Company for long-term success. The trailing twelve-month revenue covenants, together with the minimum cash covenant, allow the Company to focus on operating discipline and execution. The Company is seeking stockholder approval of the issuance of the Initial Warrant and, if needed, the Additional Warrant, in order to comply with, and continue to benefit from, the terms of the Credit Agreement. Any such issuance would be subject to the ASX Listing Rules explained below.</w:t>
      </w:r>
    </w:p>
    <w:p>
      <w:pPr>
        <w:pStyle w:val="TextBody"/>
        <w:bidi w:val="0"/>
        <w:jc w:val="left"/>
        <w:rPr>
          <w:rFonts w:ascii="Times New Roman" w:hAnsi="Times New Roman"/>
          <w:sz w:val="20"/>
        </w:rPr>
      </w:pPr>
      <w:r>
        <w:rPr>
          <w:rFonts w:ascii="Times New Roman" w:hAnsi="Times New Roman"/>
          <w:color w:val="231F20"/>
          <w:sz w:val="20"/>
        </w:rPr>
        <w:br/>
      </w:r>
      <w:r>
        <w:rPr>
          <w:rFonts w:ascii="Times New Roman" w:hAnsi="Times New Roman"/>
          <w:b/>
          <w:color w:val="231F20"/>
          <w:sz w:val="20"/>
        </w:rPr>
        <w:t>ASX Listing Rules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U.S. securities law requirements, the Company's issuance of Equity Securities is also subject to ASX Listing Rule requirements.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Subject to certain exceptions, ASX Listing Rule 7.1 limits the amount of Equity Securities that a company can issue without the approval of stockholders over any 12-month period to 15% of the fully paid Equity Securities it had on issue at the start of that period. The Warrants sought to be issued under the Credit Agreement do not fit within any of these exceptions and the Company currently does not have the capacity to issue further Equity Securities without stockholder approval under ASX Listing Rule 7.1. In order to fulfill its obligation under the Credit Agreement to issue the Warrants to the Lender, the Company needs to be able to issue Equity Securities in accordance with the timing outlined above.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Proposal 14 seeks stockholder approval to issue the Warrants under the Credit Agreement for the purposes of ASX Listing Rule 7.1.</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If this Proposal 14 is approved by the stockholders, the Company will issue the Initial Warrant and, if needed, the Additional Warrant, in accordance with the terms of the Credit Agreement. As set forth above, if the Initial Warrant is issued, upon exercise by Perceptive, the total number of shares of Common Stock issued and outstanding will increase by 500,000 shares. If the Additional Warrant is issued, the total of number of shares of Common Stock issued and outstanding will be increased by an additional 150,000 shares when Perceptive exercises the Additional Warrant. As of December 31, 2025, with total issued and outstanding shares of 30,571,662 of Common Stock, the existing stockholders will be diluted by approximately 1.6% if the Initial Warrant is issued to, and exercised by, Perceptive. If the Additional Warrant is issued to, and exercised by, Perceptive, based on the total issued and outstanding shares of Common Stock as of December 31, 2025, and the assumption that the Initial Warrant is issued to, and exercised by, Perceptive, the existing stockholders will be diluted by approximately an additional 0.5%. If Perceptive elects to exercise the Warrants on a cash basis, the Company will use funds received from such exercise for general corporate purposes.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addition, the Common Stock issued pursuant to the Warrants will be excluded from the calculation of the number of Equity Securities that the Company can issue without stockholder approval under ASX Listing Rule 7.1.</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If this Proposal 14 is not approved by the stockholders, and the stockholders do not approve the issuance of the Initial Warrant before November 30, 2026, the Company will be in default of the Credit Agreement and owe an additional $2,000,000 exit fee to the Lender, as described above.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ASX Listing Rule 7.3 and ASX Guidance Note 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purposes of ASX Listing Rule 7.3 and ASX Guidance Note 21, the following information is provided:</w:t>
      </w:r>
    </w:p>
    <w:tbl>
      <w:tblPr>
        <w:tblW w:w="10205" w:type="dxa"/>
        <w:jc w:val="left"/>
        <w:tblInd w:w="0" w:type="dxa"/>
        <w:tblLayout w:type="fixed"/>
        <w:tblCellMar>
          <w:top w:w="28" w:type="dxa"/>
          <w:left w:w="28" w:type="dxa"/>
          <w:bottom w:w="28" w:type="dxa"/>
          <w:right w:w="28" w:type="dxa"/>
        </w:tblCellMar>
      </w:tblPr>
      <w:tblGrid>
        <w:gridCol w:w="3217"/>
        <w:gridCol w:w="146"/>
        <w:gridCol w:w="6842"/>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2" w:type="dxa"/>
            <w:tcBorders/>
            <w:vAlign w:val="center"/>
          </w:tcPr>
          <w:p>
            <w:pPr>
              <w:pStyle w:val="TableContents"/>
              <w:bidi w:val="0"/>
              <w:spacing w:before="0" w:after="283"/>
              <w:jc w:val="left"/>
              <w:rPr>
                <w:sz w:val="4"/>
                <w:szCs w:val="4"/>
              </w:rPr>
            </w:pPr>
            <w:r>
              <w:rPr>
                <w:sz w:val="4"/>
                <w:szCs w:val="4"/>
              </w:rPr>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Names of the persons to whom the Company is proposing to issue securities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Perceptive Credit Holdings V, LP</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69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number and class of securities issued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covering up to 650,000 shares of Common Stock (equivalent to 3.25M CDIs)</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69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of issue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Initial Warrant will be issued no later than three months after the date of the Annual Meeting</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69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Issue price of other consideration the Company has received for the securities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Warrants are being issued as part of the consideration for the Loan Facility provided by the Lender under the Credit Agreement</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69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purpose of the issue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comply with the terms of the Credit Agreement, as announced to the ASX on January 15, 2026</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Who can exercise the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Perceptive Credit Holdings V, LP or its permitted assigns</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Initial Warrant is exercisable at any time from its issue date until 5:00 p.m. Eastern time on the tenth anniversary of that date</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When the securities can be exercised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Additional Warrant is exercisable at any time from the “Tranche B Term Loan Borrowing Date” as defined under the Credit Agreement until 5:00 p.m. Eastern time on the tenth anniversary of that date</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may occur on any trading day during the applicable exercise period, in whole or in part</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price at which the securities convert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issued, the exercise price will be the lower of two 10-day VWAPs:</w:t>
            </w:r>
          </w:p>
        </w:tc>
      </w:tr>
      <w:tr>
        <w:trPr/>
        <w:tc>
          <w:tcPr>
            <w:tcW w:w="3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 the 10-day VWAP ending on the business day immediately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to the Closing Date (i.e., 13 January 2026); and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 the 10-day VWAP ending on the business day immediately prior to the Warrant issuance date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addition, if and when the Warrants are issued, the exercise price is subject to adjustment for dilutive share distributions below the then-current exercise price, calculated using a weighted average formula set forth in the Credit Agreement</w:t>
            </w:r>
          </w:p>
        </w:tc>
      </w:tr>
    </w:tbl>
    <w:p>
      <w:pPr>
        <w:pStyle w:val="TextBody"/>
        <w:bidi w:val="0"/>
        <w:jc w:val="left"/>
        <w:rPr>
          <w:rFonts w:ascii="Times New Roman" w:hAnsi="Times New Roman"/>
          <w:b/>
          <w:color w:val="231F20"/>
          <w:sz w:val="20"/>
        </w:rPr>
      </w:pPr>
      <w:r>
        <w:rPr>
          <w:rFonts w:ascii="Times New Roman" w:hAnsi="Times New Roman"/>
          <w:b/>
          <w:color w:val="231F20"/>
          <w:sz w:val="20"/>
        </w:rPr>
        <w:t>Vote Required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Approval of this Proposal 14 requires the affirmative vote of the holders of a majority of the voting power of the Common Stock present in person or represented by proxy at the Annual Meeting and entitled to vote on the relevant Proposal. Abstentions will have the same effect as votes “AGAINST” this Proposal 14. Broker non-votes will have no effect on the voting for this Proposal 14.</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Board Recommendation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Board recommends that stockholders vote in favor of this Proposal 14 so that the Company can comply with its obligations under the Credit Agreement and comply with ASX Listing Rule 7.1.</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Voting Exclusion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will disregard any votes cast in favor of this Proposal by, or on behalf of, the Lender or its associates.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However, the Company need not disregard a vote cast in favor of the Proposal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person as proxy or attorney for a person who is entitled to vote on the Proposal, in accordance with the directions given to the proxy or attorney for a person who is entitled to vote on the Proposal in that way;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chair of the Annual Meeting, as proxy or attorney for a person who is entitled to vote on the Proposal, in accordance with a direction given to the chair to vote on the Proposal as the chair decides;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holder acting solely in a nominee, trustee, custodial or other fiduciary capacity on behalf of a beneficiary, provided the following conditions are met: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beneficiary provides written confirmation to the stockholder that the beneficiary is not excluded from voting, and is not an associate of a person excluded from voting, on the Proposal;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 votes on the Proposal in accordance with directions given by the beneficiary to the holder to vote in that way.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46" w:name="proposal_15"/>
      <w:bookmarkEnd w:id="46"/>
      <w:r>
        <w:rPr>
          <w:rFonts w:ascii="Times New Roman" w:hAnsi="Times New Roman"/>
          <w:b/>
          <w:color w:val="000000"/>
          <w:sz w:val="20"/>
        </w:rPr>
        <w:t>Proposal 15</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APPROVAL OF A 10% INCREASE TO THE COMPANY’S PLACEMENT CAPACITY UNDER ASX LISTING RULE 7.1A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Subject to certain exceptions, ASX Listing Rule 7.1 limits the amount of Equity Securities that a listed company can issue without the approval of its stockholders over any 12-month period to 15% of the fully paid Equity Securities it had on issue at the start of that period. However, ASX Listing Rule 7.1A provides that an “eligible entity” may seek stockholder approval, by way of special resolution passed at an annual meeting of its stockholders, to increase this 15% limit by an extra 10% to 25% (the “Additional 10% Placement Capacity”).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Proposal 15 seeks stockholder approval by a special resolution to provide the Company the authorization to issue Equity Securities under the Additional 10% Placement Capacity during the Additional 10% Placement Period (as defined below) without stockholder approval. The number of Equity Securities to be issued under the Additional 10% Placement Capacity will be determined at the date of the issuance of such Equity Securities, in accordance with the formula set forth in ASX Listing Rule 7.1A.2.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Proposal 15 is passed, the Company will be able to issue Equity Securities up to the combined 25% limit in accordance with ASX Listing Rules 7.1 and 7.1A (subject to certain restrictions) without further stockholder approval during the Additional 10% Placement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Proposal 15 is not passed, the Company will not be able to access the Additional 10% Placement Capacity and will remain subject to the 15% limit on issuing Equity Securities without stockholder approval under ASX Listing Rule 7.1.</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ASX Listing Rule 7.1A</w:t>
      </w:r>
    </w:p>
    <w:p>
      <w:pPr>
        <w:pStyle w:val="TextBody"/>
        <w:bidi w:val="0"/>
        <w:spacing w:before="36" w:after="283"/>
        <w:jc w:val="left"/>
        <w:rPr/>
      </w:pPr>
      <w:r>
        <w:rPr/>
        <w:t> </w:t>
      </w:r>
    </w:p>
    <w:p>
      <w:pPr>
        <w:pStyle w:val="TextBody"/>
        <w:bidi w:val="0"/>
        <w:spacing w:before="0" w:after="0"/>
        <w:jc w:val="left"/>
        <w:rPr>
          <w:rFonts w:ascii="Arial" w:hAnsi="Arial"/>
          <w:color w:val="000000"/>
          <w:sz w:val="15"/>
        </w:rPr>
      </w:pPr>
      <w:r>
        <w:rPr>
          <w:rFonts w:ascii="Arial" w:hAnsi="Arial"/>
          <w:color w:val="000000"/>
          <w:sz w:val="15"/>
        </w:rPr>
        <w:t>(1)</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Eligible Entity</w:t>
      </w:r>
    </w:p>
    <w:p>
      <w:pPr>
        <w:pStyle w:val="TextBody"/>
        <w:bidi w:val="0"/>
        <w:spacing w:before="35"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An “eligible entity” for the purposes of ASX Listing Rule 7.1A is an entity which is not included in the S&amp;P/ASX 300 Index and which has a market capitalization (excluding restricted securities and securities quoted on a deferred settlement basis) equal to or less than A$300 million.</w:t>
      </w:r>
    </w:p>
    <w:p>
      <w:pPr>
        <w:pStyle w:val="TextBody"/>
        <w:bidi w:val="0"/>
        <w:spacing w:before="19"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As of the Record Date, the Company’s market capitalization was A$198.5 million and is not included in the S&amp;P/ASX 300 Index and therefore, as an “eligible entity”, the Company is eligible to undertake an additional 10% placement under ASX Listing Rule 7.1A. If at the time of the Annual Meeting the Company is no longer an eligible entity, this Proposal 15 will be withdrawn.</w:t>
      </w:r>
    </w:p>
    <w:p>
      <w:pPr>
        <w:pStyle w:val="TextBody"/>
        <w:bidi w:val="0"/>
        <w:spacing w:before="19" w:after="283"/>
        <w:jc w:val="left"/>
        <w:rPr/>
      </w:pPr>
      <w:r>
        <w:rPr/>
        <w:t> </w:t>
      </w:r>
    </w:p>
    <w:p>
      <w:pPr>
        <w:pStyle w:val="TextBody"/>
        <w:bidi w:val="0"/>
        <w:spacing w:before="1" w:after="283"/>
        <w:jc w:val="left"/>
        <w:rPr>
          <w:rFonts w:ascii="Arial" w:hAnsi="Arial"/>
          <w:color w:val="000000"/>
          <w:sz w:val="15"/>
        </w:rPr>
      </w:pPr>
      <w:r>
        <w:rPr>
          <w:rFonts w:ascii="Arial" w:hAnsi="Arial"/>
          <w:color w:val="000000"/>
          <w:sz w:val="15"/>
        </w:rPr>
        <w:t>(2)</w:t>
      </w:r>
    </w:p>
    <w:p>
      <w:pPr>
        <w:pStyle w:val="TextBody"/>
        <w:bidi w:val="0"/>
        <w:spacing w:before="1" w:after="283"/>
        <w:jc w:val="left"/>
        <w:rPr>
          <w:rFonts w:ascii="Times New Roman" w:hAnsi="Times New Roman"/>
          <w:color w:val="000000"/>
          <w:sz w:val="20"/>
          <w:u w:val="single"/>
        </w:rPr>
      </w:pPr>
      <w:r>
        <w:rPr>
          <w:rFonts w:ascii="Times New Roman" w:hAnsi="Times New Roman"/>
          <w:color w:val="000000"/>
          <w:sz w:val="20"/>
          <w:u w:val="single"/>
        </w:rPr>
        <w:t>Special resolution</w:t>
      </w:r>
    </w:p>
    <w:p>
      <w:pPr>
        <w:pStyle w:val="TextBody"/>
        <w:bidi w:val="0"/>
        <w:spacing w:before="35"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Proposal 15 is required to be passed as a special resolution, and therefore, requires approval of at least 75% of the votes cast by stockholders present or represented by proxy at the Annual Meeting and entitled to vote on the proposal.</w:t>
      </w:r>
    </w:p>
    <w:p>
      <w:pPr>
        <w:pStyle w:val="TextBody"/>
        <w:bidi w:val="0"/>
        <w:spacing w:before="20" w:after="283"/>
        <w:jc w:val="left"/>
        <w:rPr/>
      </w:pPr>
      <w:r>
        <w:rPr/>
        <w:t> </w:t>
      </w:r>
    </w:p>
    <w:p>
      <w:pPr>
        <w:pStyle w:val="TextBody"/>
        <w:bidi w:val="0"/>
        <w:spacing w:before="0" w:after="0"/>
        <w:jc w:val="left"/>
        <w:rPr>
          <w:rFonts w:ascii="Arial" w:hAnsi="Arial"/>
          <w:color w:val="000000"/>
          <w:sz w:val="15"/>
        </w:rPr>
      </w:pPr>
      <w:r>
        <w:rPr>
          <w:rFonts w:ascii="Arial" w:hAnsi="Arial"/>
          <w:color w:val="000000"/>
          <w:sz w:val="15"/>
        </w:rPr>
        <w:t>(3)</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Type of Equity Securities which may be issued</w:t>
      </w:r>
    </w:p>
    <w:p>
      <w:pPr>
        <w:pStyle w:val="TextBody"/>
        <w:bidi w:val="0"/>
        <w:spacing w:before="35"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Any Equity Securities issued under the Additional 10% Placement Capacity must be in the same class as an existing quoted class of Equity Securities of the Company and issued for cash consideration. As at the date of this Proxy Statement, the Company has on issue one quoted class of Equity Securities on the ASX, being CDIs.</w:t>
      </w:r>
    </w:p>
    <w:p>
      <w:pPr>
        <w:pStyle w:val="TextBody"/>
        <w:bidi w:val="0"/>
        <w:spacing w:before="1" w:after="283"/>
        <w:jc w:val="left"/>
        <w:rPr/>
      </w:pPr>
      <w:r>
        <w:rPr/>
        <w:t> </w:t>
      </w:r>
    </w:p>
    <w:p>
      <w:pPr>
        <w:pStyle w:val="TextBody"/>
        <w:bidi w:val="0"/>
        <w:spacing w:before="1" w:after="283"/>
        <w:jc w:val="left"/>
        <w:rPr>
          <w:rFonts w:ascii="Arial" w:hAnsi="Arial"/>
          <w:color w:val="000000"/>
          <w:sz w:val="15"/>
        </w:rPr>
      </w:pPr>
      <w:r>
        <w:rPr>
          <w:rFonts w:ascii="Arial" w:hAnsi="Arial"/>
          <w:color w:val="000000"/>
          <w:sz w:val="15"/>
        </w:rPr>
        <w:t>(4)</w:t>
      </w:r>
    </w:p>
    <w:p>
      <w:pPr>
        <w:pStyle w:val="TextBody"/>
        <w:bidi w:val="0"/>
        <w:spacing w:before="1" w:after="283"/>
        <w:jc w:val="left"/>
        <w:rPr>
          <w:rFonts w:ascii="Times New Roman" w:hAnsi="Times New Roman"/>
          <w:color w:val="000000"/>
          <w:sz w:val="20"/>
          <w:u w:val="single"/>
        </w:rPr>
      </w:pPr>
      <w:r>
        <w:rPr>
          <w:rFonts w:ascii="Times New Roman" w:hAnsi="Times New Roman"/>
          <w:color w:val="000000"/>
          <w:sz w:val="20"/>
          <w:u w:val="single"/>
        </w:rPr>
        <w:t>Number of Equity Securities which may be issued</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Based on the number of Equity Securities on issue at the date of this Proxy Statement, the Company will have 30,776,689 Equity Securities on issue and therefore, subject to stockholder approval being obtained under this Proposal 15, 7,694,172 Equity Securities will be permitted to be issued in accordance with ASX Listing Rule 7.1A. Stockholders should note that the calculation of the number of Equity Securities permitted to be issued under the Additional 10% Placement Capacity is a moving calculation and will be based on the formula set out in ASX Listing Rule 7.1A.2 at the time of issue of the Equity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That formula is:</w:t>
      </w:r>
    </w:p>
    <w:p>
      <w:pPr>
        <w:pStyle w:val="TextBody"/>
        <w:bidi w:val="0"/>
        <w:spacing w:before="1"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(A x D) – E</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is the number of Equity Securities on issue 12 months immediately preceding the date of issue or agreement (the period between that date and the date of the issue or agreement being the “Relevant Period”): </w:t>
      </w:r>
    </w:p>
    <w:p>
      <w:pPr>
        <w:pStyle w:val="TextBody"/>
        <w:bidi w:val="0"/>
        <w:spacing w:before="1"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plus the number of fully paid Equity Securities issued in the Relevant Period under an exception in ASX Listing Rule 7.2 other than exceptions 9, 16 or 17;</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plus the number of fully paid Equity Securities issued in the Relevant Period on the conversion of convertible securities within ASX Listing Rule 7.2 exception 9 where:</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convertible securities were issued or agreed to be issued before the commencement of the relevant period; or</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issue of, or agreement to issue, the convertible securities was approved or taken under the ASX Listing Rules to have been approved, under ASX Listing Rules 7.1 or 7.4;</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plus the number of Equity Securities issued in the Relevant Period under an agreement to issue securities within ASX Listing Rule 7.2 exception 16 where: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the agreement was entered into before the commencement of the Relevant Period; or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agreement or issue was approved, or taken under these rules to have been approved, under ASX Listing Rules 7.1 or 7.4;</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plus the number of fully paid Equity Securities issued in the Relevant Period with approval of holders of Equity Securities under ASX Listing Rules 7.1 and 7.4;</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plus the number of partly paid Equity Securities that become fully paid in the Relevant Period; and</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less the number of fully paid Equity Securities cancelled in the Relevant Period.</w:t>
      </w:r>
    </w:p>
    <w:p>
      <w:pPr>
        <w:pStyle w:val="TextBody"/>
        <w:bidi w:val="0"/>
        <w:spacing w:before="1" w:after="283"/>
        <w:jc w:val="left"/>
        <w:rPr/>
      </w:pPr>
      <w:r>
        <w:rPr/>
        <w:t> </w:t>
      </w:r>
    </w:p>
    <w:p>
      <w:pPr>
        <w:pStyle w:val="TextBody"/>
        <w:bidi w:val="0"/>
        <w:spacing w:before="1" w:after="283"/>
        <w:jc w:val="left"/>
        <w:rPr>
          <w:rFonts w:ascii="Times New Roman" w:hAnsi="Times New Roman"/>
          <w:i/>
          <w:color w:val="000000"/>
          <w:sz w:val="20"/>
        </w:rPr>
      </w:pPr>
      <w:r>
        <w:rPr>
          <w:rFonts w:ascii="Times New Roman" w:hAnsi="Times New Roman"/>
          <w:i/>
          <w:color w:val="000000"/>
          <w:sz w:val="20"/>
        </w:rPr>
        <w:t>Note that ‘A’ has the same meaning in ASX Listing Rule 7.1 when calculating an entity's 15% placement capacity.</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is 10%; and</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is the number of Equity Securities issued or agreed to be issued under ASX Listing Rule 7.1A.2 in the Relevant Period where the issue or agreement to issue has not been subsequently approved by stockholders under ASX Listing Rule 7.4.</w:t>
      </w:r>
    </w:p>
    <w:p>
      <w:pPr>
        <w:pStyle w:val="TextBody"/>
        <w:bidi w:val="0"/>
        <w:spacing w:before="1" w:after="283"/>
        <w:jc w:val="left"/>
        <w:rPr/>
      </w:pPr>
      <w:r>
        <w:rPr/>
        <w:t> </w:t>
      </w:r>
    </w:p>
    <w:p>
      <w:pPr>
        <w:pStyle w:val="TextBody"/>
        <w:bidi w:val="0"/>
        <w:spacing w:before="1" w:after="283"/>
        <w:jc w:val="left"/>
        <w:rPr>
          <w:rFonts w:ascii="Arial" w:hAnsi="Arial"/>
          <w:color w:val="000000"/>
          <w:sz w:val="15"/>
        </w:rPr>
      </w:pPr>
      <w:r>
        <w:rPr>
          <w:rFonts w:ascii="Arial" w:hAnsi="Arial"/>
          <w:color w:val="000000"/>
          <w:sz w:val="15"/>
        </w:rPr>
        <w:t>(5)</w:t>
      </w:r>
    </w:p>
    <w:p>
      <w:pPr>
        <w:pStyle w:val="TextBody"/>
        <w:bidi w:val="0"/>
        <w:spacing w:before="1" w:after="283"/>
        <w:jc w:val="left"/>
        <w:rPr>
          <w:rFonts w:ascii="Times New Roman" w:hAnsi="Times New Roman"/>
          <w:color w:val="000000"/>
          <w:sz w:val="20"/>
          <w:u w:val="single"/>
        </w:rPr>
      </w:pPr>
      <w:r>
        <w:rPr>
          <w:rFonts w:ascii="Times New Roman" w:hAnsi="Times New Roman"/>
          <w:color w:val="000000"/>
          <w:sz w:val="20"/>
          <w:u w:val="single"/>
        </w:rPr>
        <w:t>Interaction with ASX Listing Rule 7.1</w:t>
      </w:r>
    </w:p>
    <w:p>
      <w:pPr>
        <w:pStyle w:val="TextBody"/>
        <w:bidi w:val="0"/>
        <w:spacing w:before="35"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Additional 10% Placement Capacity under ASX Listing Rule 7.1A is in addition to the Company’s 15% placement capacity under Listing Rule 7.1. Therefore, approval of this Proposal 15 will enable the Company to issue securities under the Additional 10% Placement Capacity (in accordance with ASX Listing Rule 7.1A) without using its standard 15% placement capacity under Listing Rule 7.1.</w:t>
      </w:r>
    </w:p>
    <w:p>
      <w:pPr>
        <w:pStyle w:val="TextBody"/>
        <w:bidi w:val="0"/>
        <w:jc w:val="left"/>
        <w:rPr/>
      </w:pPr>
      <w:r>
        <w:rPr/>
        <w:t> </w:t>
      </w:r>
    </w:p>
    <w:p>
      <w:pPr>
        <w:pStyle w:val="TextBody"/>
        <w:bidi w:val="0"/>
        <w:spacing w:before="75" w:after="283"/>
        <w:jc w:val="left"/>
        <w:rPr>
          <w:rFonts w:ascii="Times New Roman" w:hAnsi="Times New Roman"/>
          <w:b/>
          <w:color w:val="000000"/>
          <w:sz w:val="20"/>
        </w:rPr>
      </w:pPr>
      <w:r>
        <w:rPr>
          <w:rFonts w:ascii="Times New Roman" w:hAnsi="Times New Roman"/>
          <w:b/>
          <w:color w:val="000000"/>
          <w:sz w:val="20"/>
        </w:rPr>
        <w:t>Specific information required by ASX Listing Rule 7.3A</w:t>
      </w:r>
    </w:p>
    <w:p>
      <w:pPr>
        <w:pStyle w:val="TextBody"/>
        <w:bidi w:val="0"/>
        <w:spacing w:before="35"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and in accordance with ASX Listing Rule 7.3A, the following information is provided in relation to the Additional 10% Placement Capacity:</w:t>
      </w:r>
    </w:p>
    <w:p>
      <w:pPr>
        <w:pStyle w:val="TextBody"/>
        <w:bidi w:val="0"/>
        <w:spacing w:before="36" w:after="283"/>
        <w:jc w:val="left"/>
        <w:rPr/>
      </w:pPr>
      <w:r>
        <w:rPr/>
        <w:t> </w:t>
      </w:r>
    </w:p>
    <w:p>
      <w:pPr>
        <w:pStyle w:val="TextBody"/>
        <w:bidi w:val="0"/>
        <w:spacing w:before="0" w:after="0"/>
        <w:jc w:val="left"/>
        <w:rPr>
          <w:rFonts w:ascii="Arial" w:hAnsi="Arial"/>
          <w:color w:val="000000"/>
          <w:sz w:val="15"/>
        </w:rPr>
      </w:pPr>
      <w:r>
        <w:rPr>
          <w:rFonts w:ascii="Arial" w:hAnsi="Arial"/>
          <w:color w:val="000000"/>
          <w:sz w:val="15"/>
        </w:rPr>
        <w:t>(1)</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Approval period</w:t>
      </w:r>
    </w:p>
    <w:p>
      <w:pPr>
        <w:pStyle w:val="TextBody"/>
        <w:bidi w:val="0"/>
        <w:spacing w:before="36"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Proposal 15 is passed, the Additional 10% Placement Capacity will be valid during the period from the date of the Annual Meeting and will expire on the earlier of:</w:t>
      </w:r>
    </w:p>
    <w:p>
      <w:pPr>
        <w:pStyle w:val="TextBody"/>
        <w:bidi w:val="0"/>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date that is 12 months after the date of the Annual Meeting;</w:t>
      </w:r>
    </w:p>
    <w:p>
      <w:pPr>
        <w:pStyle w:val="TextBody"/>
        <w:bidi w:val="0"/>
        <w:spacing w:before="54" w:after="283"/>
        <w:jc w:val="left"/>
        <w:rPr>
          <w:color w:val="000000"/>
        </w:rPr>
      </w:pPr>
      <w:r>
        <w:rPr>
          <w:color w:val="000000"/>
        </w:rPr>
        <w:t>•</w:t>
      </w:r>
    </w:p>
    <w:p>
      <w:pPr>
        <w:pStyle w:val="TextBody"/>
        <w:bidi w:val="0"/>
        <w:spacing w:before="54" w:after="283"/>
        <w:jc w:val="left"/>
        <w:rPr>
          <w:rFonts w:ascii="Times New Roman" w:hAnsi="Times New Roman"/>
          <w:color w:val="000000"/>
          <w:sz w:val="20"/>
        </w:rPr>
      </w:pPr>
      <w:r>
        <w:rPr>
          <w:rFonts w:ascii="Times New Roman" w:hAnsi="Times New Roman"/>
          <w:color w:val="000000"/>
          <w:sz w:val="20"/>
        </w:rPr>
        <w:t>the time and date of the Company's next annual stockholders meeting; and</w:t>
      </w:r>
    </w:p>
    <w:p>
      <w:pPr>
        <w:pStyle w:val="TextBody"/>
        <w:bidi w:val="0"/>
        <w:spacing w:before="54" w:after="283"/>
        <w:jc w:val="left"/>
        <w:rPr>
          <w:color w:val="000000"/>
        </w:rPr>
      </w:pPr>
      <w:r>
        <w:rPr>
          <w:color w:val="000000"/>
        </w:rPr>
        <w:t>•</w:t>
      </w:r>
    </w:p>
    <w:p>
      <w:pPr>
        <w:pStyle w:val="TextBody"/>
        <w:bidi w:val="0"/>
        <w:spacing w:before="54" w:after="283"/>
        <w:jc w:val="left"/>
        <w:rPr/>
      </w:pPr>
      <w:r>
        <w:rPr>
          <w:rFonts w:ascii="Times New Roman" w:hAnsi="Times New Roman"/>
          <w:color w:val="000000"/>
          <w:sz w:val="20"/>
        </w:rPr>
        <w:t>the time and date on which the Company receives approval by its stockholders for a transaction under ASX Listing Rule 11.1.2 (significant change to nature or scale of activities) or 11.2 (change involving main undertaking), (the “Additional 10% Placement Period”)</w:t>
      </w:r>
      <w:r>
        <w:rPr>
          <w:rFonts w:ascii="Times New Roman" w:hAnsi="Times New Roman"/>
          <w:i/>
          <w:color w:val="000000"/>
          <w:sz w:val="20"/>
        </w:rPr>
        <w:t>.</w:t>
      </w:r>
    </w:p>
    <w:p>
      <w:pPr>
        <w:pStyle w:val="TextBody"/>
        <w:bidi w:val="0"/>
        <w:spacing w:before="19" w:after="283"/>
        <w:jc w:val="left"/>
        <w:rPr/>
      </w:pPr>
      <w:r>
        <w:rPr/>
        <w:t> </w:t>
      </w:r>
    </w:p>
    <w:p>
      <w:pPr>
        <w:pStyle w:val="TextBody"/>
        <w:bidi w:val="0"/>
        <w:spacing w:before="0" w:after="0"/>
        <w:jc w:val="left"/>
        <w:rPr>
          <w:rFonts w:ascii="Arial" w:hAnsi="Arial"/>
          <w:color w:val="000000"/>
          <w:sz w:val="15"/>
        </w:rPr>
      </w:pPr>
      <w:r>
        <w:rPr>
          <w:rFonts w:ascii="Arial" w:hAnsi="Arial"/>
          <w:color w:val="000000"/>
          <w:sz w:val="15"/>
        </w:rPr>
        <w:t>(2)</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Minimum issue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pricing of the Equity Securities to be issued under the Additional 10% Placement Capacity must be not less than 75% of the volume-weighted average price for the Company’s Equity Securities over the 15 days on which trades in that class were recorded (“Trading Days”) immediately before:</w:t>
      </w:r>
    </w:p>
    <w:p>
      <w:pPr>
        <w:pStyle w:val="TextBody"/>
        <w:bidi w:val="0"/>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date on which the issue price for the Equity Securities is agreed by the Company and the recipient of the Equity Securities; or</w:t>
      </w:r>
    </w:p>
    <w:p>
      <w:pPr>
        <w:pStyle w:val="TextBody"/>
        <w:bidi w:val="0"/>
        <w:spacing w:before="54" w:after="283"/>
        <w:jc w:val="left"/>
        <w:rPr>
          <w:color w:val="000000"/>
        </w:rPr>
      </w:pPr>
      <w:r>
        <w:rPr>
          <w:color w:val="000000"/>
        </w:rPr>
        <w:t>•</w:t>
      </w:r>
    </w:p>
    <w:p>
      <w:pPr>
        <w:pStyle w:val="TextBody"/>
        <w:bidi w:val="0"/>
        <w:spacing w:before="54" w:after="283"/>
        <w:jc w:val="left"/>
        <w:rPr>
          <w:rFonts w:ascii="Times New Roman" w:hAnsi="Times New Roman"/>
          <w:color w:val="000000"/>
          <w:sz w:val="20"/>
        </w:rPr>
      </w:pPr>
      <w:r>
        <w:rPr>
          <w:rFonts w:ascii="Times New Roman" w:hAnsi="Times New Roman"/>
          <w:color w:val="000000"/>
          <w:sz w:val="20"/>
        </w:rPr>
        <w:t>if the Equity Securities are not issued within 10 Trading Days of the date in paragraph (i) above, the date on which the Equity Securities are issued.</w:t>
      </w:r>
    </w:p>
    <w:p>
      <w:pPr>
        <w:pStyle w:val="TextBody"/>
        <w:bidi w:val="0"/>
        <w:spacing w:before="36"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will disclose this information when Equity Securities are issued under the Additional 10% Placement Capacity.</w:t>
      </w:r>
    </w:p>
    <w:p>
      <w:pPr>
        <w:pStyle w:val="TextBody"/>
        <w:bidi w:val="0"/>
        <w:spacing w:before="36" w:after="283"/>
        <w:jc w:val="left"/>
        <w:rPr/>
      </w:pPr>
      <w:r>
        <w:rPr/>
        <w:t> </w:t>
      </w:r>
    </w:p>
    <w:p>
      <w:pPr>
        <w:pStyle w:val="TextBody"/>
        <w:bidi w:val="0"/>
        <w:spacing w:before="0" w:after="0"/>
        <w:jc w:val="left"/>
        <w:rPr>
          <w:rFonts w:ascii="Arial" w:hAnsi="Arial"/>
          <w:color w:val="000000"/>
          <w:sz w:val="15"/>
        </w:rPr>
      </w:pPr>
      <w:r>
        <w:rPr>
          <w:rFonts w:ascii="Arial" w:hAnsi="Arial"/>
          <w:color w:val="000000"/>
          <w:sz w:val="15"/>
        </w:rPr>
        <w:t>(3)</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Purpose for which funds raised by an issue of Equity Securities under ASX Listing Rule 7.1A may be used</w:t>
      </w:r>
    </w:p>
    <w:p>
      <w:pPr>
        <w:pStyle w:val="TextBody"/>
        <w:bidi w:val="0"/>
        <w:spacing w:before="3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noted above, the Company may only issue Equity Securities under the Additional 10% Placement Capacity for cash consideration. Accordingly, every issue of Equity Securities under ASX Listing Rule 7.1A.2 will have an accompanying proposed use of funds at the time of issue.</w:t>
      </w:r>
    </w:p>
    <w:p>
      <w:pPr>
        <w:pStyle w:val="TextBody"/>
        <w:bidi w:val="0"/>
        <w:spacing w:before="19"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date of this Proxy Statement, no decision has been made by the Company to undertake any issue of Equity Securities under the Additional 10% Placement Capacity if the stockholders approve this Proposal 15. However, if the stockholders approve this Proposal 15 and the Company raises funds from the issue of Equity Securities under the Additional 10% Placement Capacity, the Company considers that the funds may be used for any one or more of the following purposes:</w:t>
      </w:r>
    </w:p>
    <w:p>
      <w:pPr>
        <w:pStyle w:val="TextBody"/>
        <w:bidi w:val="0"/>
        <w:jc w:val="both"/>
        <w:rPr/>
      </w:pPr>
      <w:r>
        <w:rPr/>
        <w:t> </w:t>
      </w:r>
    </w:p>
    <w:p>
      <w:pPr>
        <w:pStyle w:val="TextBody"/>
        <w:bidi w:val="0"/>
        <w:spacing w:before="3" w:after="283"/>
        <w:jc w:val="left"/>
        <w:rPr>
          <w:color w:val="000000"/>
        </w:rPr>
      </w:pPr>
      <w:r>
        <w:rPr>
          <w:color w:val="000000"/>
        </w:rPr>
        <w:t>•</w:t>
      </w:r>
    </w:p>
    <w:p>
      <w:pPr>
        <w:pStyle w:val="TextBody"/>
        <w:bidi w:val="0"/>
        <w:spacing w:before="3" w:after="283"/>
        <w:jc w:val="left"/>
        <w:rPr>
          <w:rFonts w:ascii="Times New Roman" w:hAnsi="Times New Roman"/>
          <w:color w:val="000000"/>
          <w:sz w:val="20"/>
        </w:rPr>
      </w:pPr>
      <w:r>
        <w:rPr>
          <w:rFonts w:ascii="Times New Roman" w:hAnsi="Times New Roman"/>
          <w:color w:val="000000"/>
          <w:sz w:val="20"/>
        </w:rPr>
        <w:t>general working capital expenses;</w:t>
      </w:r>
    </w:p>
    <w:p>
      <w:pPr>
        <w:pStyle w:val="TextBody"/>
        <w:bidi w:val="0"/>
        <w:spacing w:before="54" w:after="283"/>
        <w:jc w:val="left"/>
        <w:rPr>
          <w:color w:val="000000"/>
        </w:rPr>
      </w:pPr>
      <w:r>
        <w:rPr>
          <w:color w:val="000000"/>
        </w:rPr>
        <w:t>•</w:t>
      </w:r>
    </w:p>
    <w:p>
      <w:pPr>
        <w:pStyle w:val="TextBody"/>
        <w:bidi w:val="0"/>
        <w:spacing w:before="54" w:after="283"/>
        <w:jc w:val="left"/>
        <w:rPr>
          <w:rFonts w:ascii="Times New Roman" w:hAnsi="Times New Roman"/>
          <w:color w:val="000000"/>
          <w:sz w:val="20"/>
        </w:rPr>
      </w:pPr>
      <w:r>
        <w:rPr>
          <w:rFonts w:ascii="Times New Roman" w:hAnsi="Times New Roman"/>
          <w:color w:val="000000"/>
          <w:sz w:val="20"/>
        </w:rPr>
        <w:t>investment in research and development activities;</w:t>
      </w:r>
    </w:p>
    <w:p>
      <w:pPr>
        <w:pStyle w:val="TextBody"/>
        <w:bidi w:val="0"/>
        <w:spacing w:before="53" w:after="283"/>
        <w:jc w:val="left"/>
        <w:rPr>
          <w:color w:val="000000"/>
        </w:rPr>
      </w:pPr>
      <w:r>
        <w:rPr>
          <w:color w:val="000000"/>
        </w:rPr>
        <w:t>•</w:t>
      </w:r>
    </w:p>
    <w:p>
      <w:pPr>
        <w:pStyle w:val="TextBody"/>
        <w:bidi w:val="0"/>
        <w:spacing w:before="53" w:after="283"/>
        <w:jc w:val="left"/>
        <w:rPr>
          <w:rFonts w:ascii="Times New Roman" w:hAnsi="Times New Roman"/>
          <w:color w:val="000000"/>
          <w:sz w:val="20"/>
        </w:rPr>
      </w:pPr>
      <w:r>
        <w:rPr>
          <w:rFonts w:ascii="Times New Roman" w:hAnsi="Times New Roman"/>
          <w:color w:val="000000"/>
          <w:sz w:val="20"/>
        </w:rPr>
        <w:t>investment in sales and marketing initiatives to grow market share; and</w:t>
      </w:r>
    </w:p>
    <w:p>
      <w:pPr>
        <w:pStyle w:val="TextBody"/>
        <w:bidi w:val="0"/>
        <w:spacing w:before="54" w:after="283"/>
        <w:jc w:val="left"/>
        <w:rPr>
          <w:color w:val="000000"/>
        </w:rPr>
      </w:pPr>
      <w:r>
        <w:rPr>
          <w:color w:val="000000"/>
        </w:rPr>
        <w:t>•</w:t>
      </w:r>
    </w:p>
    <w:p>
      <w:pPr>
        <w:pStyle w:val="TextBody"/>
        <w:bidi w:val="0"/>
        <w:spacing w:before="54" w:after="283"/>
        <w:jc w:val="left"/>
        <w:rPr>
          <w:rFonts w:ascii="Times New Roman" w:hAnsi="Times New Roman"/>
          <w:color w:val="000000"/>
          <w:sz w:val="20"/>
        </w:rPr>
      </w:pPr>
      <w:r>
        <w:rPr>
          <w:rFonts w:ascii="Times New Roman" w:hAnsi="Times New Roman"/>
          <w:color w:val="000000"/>
          <w:sz w:val="20"/>
        </w:rPr>
        <w:t>acquisition and investment in new assets (including associated expenses).</w:t>
      </w:r>
    </w:p>
    <w:p>
      <w:pPr>
        <w:pStyle w:val="TextBody"/>
        <w:bidi w:val="0"/>
        <w:spacing w:before="7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disclose this information when Equity Securities are issued under the Additional 10% Placement Capacity.</w:t>
      </w:r>
    </w:p>
    <w:p>
      <w:pPr>
        <w:pStyle w:val="TextBody"/>
        <w:bidi w:val="0"/>
        <w:spacing w:before="36" w:after="283"/>
        <w:jc w:val="left"/>
        <w:rPr/>
      </w:pPr>
      <w:r>
        <w:rPr/>
        <w:t> </w:t>
      </w:r>
    </w:p>
    <w:p>
      <w:pPr>
        <w:pStyle w:val="TextBody"/>
        <w:bidi w:val="0"/>
        <w:spacing w:before="0" w:after="0"/>
        <w:jc w:val="left"/>
        <w:rPr>
          <w:rFonts w:ascii="Arial" w:hAnsi="Arial"/>
          <w:color w:val="000000"/>
          <w:sz w:val="15"/>
        </w:rPr>
      </w:pPr>
      <w:r>
        <w:rPr>
          <w:rFonts w:ascii="Arial" w:hAnsi="Arial"/>
          <w:color w:val="000000"/>
          <w:sz w:val="15"/>
        </w:rPr>
        <w:t>(4)</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Economic and voting dilution risks</w:t>
      </w:r>
    </w:p>
    <w:p>
      <w:pPr>
        <w:pStyle w:val="TextBody"/>
        <w:bidi w:val="0"/>
        <w:spacing w:before="36"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this Proposal 15 is approved, and the Company issues Equity Securities under the Additional 10% Placement Capacity, the existing stockholders’ economic and voting interests in the Company will be diluted. There is also a risk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for the Company’s Equity Securities in the class of securities issued under the Additional 10% Placement Capacity may be significantly lower on the issue date than on the date that the Additional 10% Placement Capacity was approved (i.e., the date of the Annual Meeting); and</w:t>
      </w:r>
    </w:p>
    <w:p>
      <w:pPr>
        <w:pStyle w:val="TextBody"/>
        <w:bidi w:val="0"/>
        <w:spacing w:before="2" w:after="283"/>
        <w:jc w:val="left"/>
        <w:rPr>
          <w:color w:val="000000"/>
        </w:rPr>
      </w:pPr>
      <w:r>
        <w:rPr>
          <w:color w:val="000000"/>
        </w:rPr>
        <w:t>•</w:t>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 xml:space="preserve">the Equity Securities may be issued under the Additional 10% Placement Capacity at a price that is at a discount to the market price of the Company’s Equity Securities as of the issue date. </w:t>
      </w:r>
    </w:p>
    <w:p>
      <w:pPr>
        <w:pStyle w:val="TextBody"/>
        <w:bidi w:val="0"/>
        <w:spacing w:before="2" w:after="283"/>
        <w:jc w:val="left"/>
        <w:rPr/>
      </w:pPr>
      <w:r>
        <w:rPr/>
        <w:t> </w:t>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Such market price variation or discount may have an effect on the amount of funds raised from the issue of the Equity Securities.</w:t>
      </w:r>
    </w:p>
    <w:p>
      <w:pPr>
        <w:pStyle w:val="TextBody"/>
        <w:bidi w:val="0"/>
        <w:spacing w:before="74" w:after="283"/>
        <w:jc w:val="both"/>
        <w:rPr>
          <w:rFonts w:ascii="Times New Roman" w:hAnsi="Times New Roman"/>
          <w:color w:val="000000"/>
          <w:sz w:val="20"/>
        </w:rPr>
      </w:pPr>
      <w:r>
        <w:rPr>
          <w:rFonts w:ascii="Times New Roman" w:hAnsi="Times New Roman"/>
          <w:color w:val="000000"/>
          <w:sz w:val="20"/>
        </w:rPr>
        <w:t>As required by ASX Listing Rule 7.3A.4, the table below illustrates the potential dilution of existing stockholders on the basis of three different assumed issue prices and values for variable ‘A’ in the formula in ASX Listing Rule 7.1A.2 as at the date of the Proxy Statement (“Variable A”). This table shows: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two examples where Variable A has increased by 50% and 100% respectively. Variable 'A' is based on the number of Equity Securities the Company has on issue as at the date of this Proxy Statement. The number of Equity Securities on issue may increase as a result of issues of Equity Securities that do not require stockholder approval (e.g., a pro rata entitlement offer or securities issued under a takeover offer) or future specific placements under ASX Listing Rule 7.1 that are approved at a future general meeting; and</w:t>
      </w:r>
    </w:p>
    <w:p>
      <w:pPr>
        <w:pStyle w:val="TextBody"/>
        <w:bidi w:val="0"/>
        <w:spacing w:before="2" w:after="283"/>
        <w:jc w:val="both"/>
        <w:rPr>
          <w:color w:val="000000"/>
        </w:rPr>
      </w:pPr>
      <w:r>
        <w:rPr>
          <w:color w:val="000000"/>
        </w:rPr>
        <w:t>•</w:t>
      </w:r>
    </w:p>
    <w:p>
      <w:pPr>
        <w:pStyle w:val="TextBody"/>
        <w:bidi w:val="0"/>
        <w:spacing w:before="2" w:after="283"/>
        <w:jc w:val="both"/>
        <w:rPr>
          <w:rFonts w:ascii="Times New Roman" w:hAnsi="Times New Roman"/>
          <w:color w:val="000000"/>
          <w:sz w:val="20"/>
        </w:rPr>
      </w:pPr>
      <w:r>
        <w:rPr>
          <w:rFonts w:ascii="Times New Roman" w:hAnsi="Times New Roman"/>
          <w:color w:val="000000"/>
          <w:sz w:val="20"/>
        </w:rPr>
        <w:t>two examples of where the issue price of Equity Securities has decreased by 50% and increased by 50%, respectively, as against the market price as of the Record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 w:after="283"/>
        <w:jc w:val="both"/>
        <w:rPr/>
      </w:pPr>
      <w:r>
        <w:rPr/>
        <w:t> </w:t>
      </w:r>
    </w:p>
    <w:tbl>
      <w:tblPr>
        <w:tblW w:w="10205" w:type="dxa"/>
        <w:jc w:val="left"/>
        <w:tblInd w:w="0" w:type="dxa"/>
        <w:tblLayout w:type="fixed"/>
        <w:tblCellMar>
          <w:top w:w="28" w:type="dxa"/>
          <w:left w:w="28" w:type="dxa"/>
          <w:bottom w:w="28" w:type="dxa"/>
          <w:right w:w="28" w:type="dxa"/>
        </w:tblCellMar>
      </w:tblPr>
      <w:tblGrid>
        <w:gridCol w:w="180"/>
        <w:gridCol w:w="1160"/>
        <w:gridCol w:w="146"/>
        <w:gridCol w:w="146"/>
        <w:gridCol w:w="169"/>
        <w:gridCol w:w="1082"/>
        <w:gridCol w:w="146"/>
        <w:gridCol w:w="148"/>
        <w:gridCol w:w="1051"/>
        <w:gridCol w:w="146"/>
        <w:gridCol w:w="146"/>
        <w:gridCol w:w="169"/>
        <w:gridCol w:w="1082"/>
        <w:gridCol w:w="146"/>
        <w:gridCol w:w="148"/>
        <w:gridCol w:w="1051"/>
        <w:gridCol w:w="146"/>
        <w:gridCol w:w="146"/>
        <w:gridCol w:w="169"/>
        <w:gridCol w:w="1082"/>
        <w:gridCol w:w="147"/>
        <w:gridCol w:w="147"/>
        <w:gridCol w:w="1052"/>
        <w:gridCol w:w="200"/>
      </w:tblGrid>
      <w:tr>
        <w:trPr/>
        <w:tc>
          <w:tcPr>
            <w:tcW w:w="18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 Decrease in 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Increase in Issue Price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Securities </w:t>
              <w:br/>
              <w:t xml:space="preserve">on Issue </w:t>
              <w:br/>
              <w:t>(Variable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Shares Issued </w:t>
              <w:br/>
              <w:t>(10% Voting Dilution)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Funds Raised </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Shares Issued </w:t>
              <w:br/>
              <w:t>(10% Voting Dilution)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Funds Raised </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Shares Issued </w:t>
              <w:br/>
              <w:t>(10% Voting Dilution)</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Funds Raised </w:t>
              <w:br/>
              <w:t>(A$)</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30,776,689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19,850,287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3,077,669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39,700,573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46,165,034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29,775,430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4,616,503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59,550,860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61,553,378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19,850,287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6,155,338</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79,401,147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5" w:after="1"/>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There are currently 30,776,689 Equity Securities on issue as of the Record Date.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issue price used is the closing price of the Equity Securities on the ASX as of the Record Date.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table assumes that the Company issues the maximum possible number of Equity Securities under the Additional 10% Placement Capacity.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table assumes that the Company has not issued any Equity Securities in the 12 months prior to the Annual Meeting that were not issued under an exception in ASX Listing Rule 7.2, with approval under ASX Listing Rule 7.1, or as ratified under ASX Listing Rule 7.4.</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issue of Equity Securities under the Additional 10% Placement Capacity consists only of CDIs and the consideration provided for those CDIs is cash. It is assumed that no Options are exercised into CDIs before the date of issue of the Equity Securities. If the issue of Equity Securities includes new Options, it is assumed that those new Options are exercised into CDIs for the purpose of calculating the voting dilution effect on existing stockholders.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calculations do not show the dilution that any one particular stockholder will be subject to. All stockholders should consider the dilution caused to their own shareholding depending on their specific circumstances.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This table does not show any dilution pursuant to the issue of Equity Securities under the Company's standard 15% placement capacity under ASX Listing Rule 7.1.</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This table does not show any dilution pursuant to ratification under ASX Listing Rule 7.4.</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"shares issued" reflects the aggregate percentage dilution against the issued share capital at the time of issue.</w:t>
      </w:r>
    </w:p>
    <w:p>
      <w:pPr>
        <w:pStyle w:val="TextBody"/>
        <w:bidi w:val="0"/>
        <w:jc w:val="left"/>
        <w:rPr/>
      </w:pPr>
      <w:r>
        <w:rPr/>
        <w:t> </w:t>
      </w:r>
    </w:p>
    <w:p>
      <w:pPr>
        <w:pStyle w:val="TextBody"/>
        <w:bidi w:val="0"/>
        <w:spacing w:before="0" w:after="0"/>
        <w:jc w:val="left"/>
        <w:rPr>
          <w:rFonts w:ascii="Arial" w:hAnsi="Arial"/>
          <w:color w:val="000000"/>
          <w:sz w:val="15"/>
        </w:rPr>
      </w:pPr>
      <w:r>
        <w:rPr>
          <w:rFonts w:ascii="Arial" w:hAnsi="Arial"/>
          <w:color w:val="000000"/>
          <w:sz w:val="15"/>
        </w:rPr>
        <w:t>(5)</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Allocation policy</w:t>
      </w:r>
    </w:p>
    <w:p>
      <w:pPr>
        <w:pStyle w:val="TextBody"/>
        <w:bidi w:val="0"/>
        <w:spacing w:before="36"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allocation policy and the identity of the recipients of the Equity Securities to be issued under the Additional 10% Placement Capacity will depend on a number of factors and will be determined on a case-by-case basis at the Company's discretion.</w:t>
      </w:r>
    </w:p>
    <w:p>
      <w:pPr>
        <w:pStyle w:val="TextBody"/>
        <w:bidi w:val="0"/>
        <w:spacing w:before="19"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No decision has been made in relation to an issue of Equity Securities under the Additional 10% Placement Capacity, including whether the Company will engage with new investors or existing stockholders (including the identities of any such persons).</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However, when determining the allocation policy and the identity of the recipients, the Company will consider:</w:t>
      </w:r>
    </w:p>
    <w:p>
      <w:pPr>
        <w:pStyle w:val="TextBody"/>
        <w:bidi w:val="0"/>
        <w:spacing w:before="36" w:after="283"/>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prevailing market conditions;</w:t>
      </w:r>
    </w:p>
    <w:p>
      <w:pPr>
        <w:pStyle w:val="TextBody"/>
        <w:bidi w:val="0"/>
        <w:spacing w:before="75" w:after="283"/>
        <w:jc w:val="left"/>
        <w:rPr>
          <w:color w:val="000000"/>
        </w:rPr>
      </w:pPr>
      <w:r>
        <w:rPr>
          <w:color w:val="000000"/>
        </w:rPr>
        <w:t>•</w:t>
      </w:r>
    </w:p>
    <w:p>
      <w:pPr>
        <w:pStyle w:val="TextBody"/>
        <w:bidi w:val="0"/>
        <w:spacing w:before="75" w:after="283"/>
        <w:jc w:val="left"/>
        <w:rPr>
          <w:rFonts w:ascii="Times New Roman" w:hAnsi="Times New Roman"/>
          <w:color w:val="000000"/>
          <w:sz w:val="20"/>
        </w:rPr>
      </w:pPr>
      <w:r>
        <w:rPr>
          <w:rFonts w:ascii="Times New Roman" w:hAnsi="Times New Roman"/>
          <w:color w:val="000000"/>
          <w:sz w:val="20"/>
        </w:rPr>
        <w:t>the purpose for the issue of the Equity Securities;</w:t>
      </w:r>
    </w:p>
    <w:p>
      <w:pPr>
        <w:pStyle w:val="TextBody"/>
        <w:bidi w:val="0"/>
        <w:spacing w:before="53" w:after="283"/>
        <w:jc w:val="left"/>
        <w:rPr>
          <w:color w:val="000000"/>
        </w:rPr>
      </w:pPr>
      <w:r>
        <w:rPr>
          <w:color w:val="000000"/>
        </w:rPr>
        <w:t>•</w:t>
      </w:r>
    </w:p>
    <w:p>
      <w:pPr>
        <w:pStyle w:val="TextBody"/>
        <w:bidi w:val="0"/>
        <w:spacing w:before="53" w:after="283"/>
        <w:jc w:val="left"/>
        <w:rPr>
          <w:rFonts w:ascii="Times New Roman" w:hAnsi="Times New Roman"/>
          <w:color w:val="000000"/>
          <w:sz w:val="20"/>
        </w:rPr>
      </w:pPr>
      <w:r>
        <w:rPr>
          <w:rFonts w:ascii="Times New Roman" w:hAnsi="Times New Roman"/>
          <w:color w:val="000000"/>
          <w:sz w:val="20"/>
        </w:rPr>
        <w:t>the financial position and likely future capital requirements of the Company;</w:t>
      </w:r>
    </w:p>
    <w:p>
      <w:pPr>
        <w:pStyle w:val="TextBody"/>
        <w:bidi w:val="0"/>
        <w:spacing w:before="54" w:after="283"/>
        <w:jc w:val="left"/>
        <w:rPr>
          <w:color w:val="000000"/>
        </w:rPr>
      </w:pPr>
      <w:r>
        <w:rPr>
          <w:color w:val="000000"/>
        </w:rPr>
        <w:t>•</w:t>
      </w:r>
    </w:p>
    <w:p>
      <w:pPr>
        <w:pStyle w:val="TextBody"/>
        <w:bidi w:val="0"/>
        <w:spacing w:before="54" w:after="283"/>
        <w:jc w:val="left"/>
        <w:rPr>
          <w:rFonts w:ascii="Times New Roman" w:hAnsi="Times New Roman"/>
          <w:color w:val="000000"/>
          <w:sz w:val="20"/>
        </w:rPr>
      </w:pPr>
      <w:r>
        <w:rPr>
          <w:rFonts w:ascii="Times New Roman" w:hAnsi="Times New Roman"/>
          <w:color w:val="000000"/>
          <w:sz w:val="20"/>
        </w:rPr>
        <w:t>the impact of any placement on the control of the Company;</w:t>
      </w:r>
    </w:p>
    <w:p>
      <w:pPr>
        <w:pStyle w:val="TextBody"/>
        <w:bidi w:val="0"/>
        <w:spacing w:before="53" w:after="283"/>
        <w:jc w:val="left"/>
        <w:rPr>
          <w:color w:val="000000"/>
        </w:rPr>
      </w:pPr>
      <w:r>
        <w:rPr>
          <w:color w:val="000000"/>
        </w:rPr>
        <w:t>•</w:t>
      </w:r>
    </w:p>
    <w:p>
      <w:pPr>
        <w:pStyle w:val="TextBody"/>
        <w:bidi w:val="0"/>
        <w:spacing w:before="53" w:after="283"/>
        <w:jc w:val="left"/>
        <w:rPr>
          <w:rFonts w:ascii="Times New Roman" w:hAnsi="Times New Roman"/>
          <w:color w:val="000000"/>
          <w:sz w:val="20"/>
        </w:rPr>
      </w:pPr>
      <w:r>
        <w:rPr>
          <w:rFonts w:ascii="Times New Roman" w:hAnsi="Times New Roman"/>
          <w:color w:val="000000"/>
          <w:sz w:val="20"/>
        </w:rPr>
        <w:t>the structure and timeframe of other methods of raising capital available to the Company (including but not limited to a pro rata entitlement offer or share purchase plan offer); and</w:t>
      </w:r>
    </w:p>
    <w:p>
      <w:pPr>
        <w:pStyle w:val="TextBody"/>
        <w:bidi w:val="0"/>
        <w:spacing w:before="2" w:after="283"/>
        <w:jc w:val="left"/>
        <w:rPr>
          <w:color w:val="000000"/>
        </w:rPr>
      </w:pPr>
      <w:r>
        <w:rPr>
          <w:color w:val="000000"/>
        </w:rPr>
        <w:t>•</w:t>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advice from corporate, financial and investment advisers (if applicable).</w:t>
      </w:r>
    </w:p>
    <w:p>
      <w:pPr>
        <w:pStyle w:val="TextBody"/>
        <w:bidi w:val="0"/>
        <w:spacing w:before="71"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Recipients may include existing stockholders or new investors, but not persons who are related parties who would otherwise require stockholder approval under ASX Listing Rule 10.11.</w:t>
      </w:r>
    </w:p>
    <w:p>
      <w:pPr>
        <w:pStyle w:val="TextBody"/>
        <w:bidi w:val="0"/>
        <w:spacing w:before="20" w:after="283"/>
        <w:jc w:val="left"/>
        <w:rPr/>
      </w:pPr>
      <w:r>
        <w:rPr/>
        <w:t> </w:t>
      </w:r>
    </w:p>
    <w:p>
      <w:pPr>
        <w:pStyle w:val="TextBody"/>
        <w:bidi w:val="0"/>
        <w:spacing w:before="0" w:after="0"/>
        <w:jc w:val="left"/>
        <w:rPr>
          <w:rFonts w:ascii="Arial" w:hAnsi="Arial"/>
          <w:color w:val="000000"/>
          <w:sz w:val="15"/>
        </w:rPr>
      </w:pPr>
      <w:r>
        <w:rPr>
          <w:rFonts w:ascii="Arial" w:hAnsi="Arial"/>
          <w:color w:val="000000"/>
          <w:sz w:val="15"/>
        </w:rPr>
        <w:t>(6)</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Previous approval and issues under ASX Listing Rule 7.1A</w:t>
      </w:r>
    </w:p>
    <w:p>
      <w:pPr>
        <w:pStyle w:val="TextBody"/>
        <w:bidi w:val="0"/>
        <w:spacing w:before="35"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Company has not previously sought stockholder approval under ASX Listing Rule 7.1A, and therefore, has not issued or agreed to issue Equity Securities under ASX Listing Rule 7.1A in the 12 months preceding the date of the Annual Meeting.</w:t>
      </w:r>
    </w:p>
    <w:p>
      <w:pPr>
        <w:pStyle w:val="TextBody"/>
        <w:bidi w:val="0"/>
        <w:spacing w:before="19" w:after="283"/>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Vote Required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Approval of this Proposal 15 requires the affirmative vote of the holders of 75% of the voting power of the Common Stock present in person or represented by proxy at the Annual Meeting and entitled to vote on the relevant Proposal. Abstentions will have the same effect as votes “AGAINST” this Proposal 15. Broker non-votes will have no effect on the voting for this Proposal 15.</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Board Recommendation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Board recommends that stockholders vote in favor of this Proposal 15.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The Board unanimously recommends that you vote </w:t>
      </w:r>
      <w:r>
        <w:rPr>
          <w:rFonts w:ascii="Times New Roman" w:hAnsi="Times New Roman"/>
          <w:color w:val="000000"/>
          <w:sz w:val="20"/>
        </w:rPr>
        <w:t>“</w:t>
      </w:r>
      <w:r>
        <w:rPr>
          <w:rFonts w:ascii="Times New Roman" w:hAnsi="Times New Roman"/>
          <w:b/>
          <w:i/>
          <w:color w:val="000000"/>
          <w:sz w:val="20"/>
        </w:rPr>
        <w:t>FOR</w:t>
      </w:r>
      <w:r>
        <w:rPr>
          <w:rFonts w:ascii="Times New Roman" w:hAnsi="Times New Roman"/>
          <w:color w:val="000000"/>
          <w:sz w:val="20"/>
        </w:rPr>
        <w:t xml:space="preserve">” </w:t>
      </w:r>
      <w:r>
        <w:rPr>
          <w:rFonts w:ascii="Times New Roman" w:hAnsi="Times New Roman"/>
          <w:b/>
          <w:i/>
          <w:color w:val="000000"/>
          <w:sz w:val="20"/>
        </w:rPr>
        <w:t xml:space="preserve">the Additional 10% Placement Capacity as described herein. Proxy holders and CDN will vote as directed on the Proxy Card (in the case of stockholders) or CDI Voting Instruction Form or online (in the case of CDI Holders) or, if no direction is made in a duly dated, executed and returned Proxy Card (in the case of stockholders) or CDI Voting Instruction Form or online (in the case of CDI Holders), </w:t>
      </w:r>
      <w:r>
        <w:rPr>
          <w:rFonts w:ascii="Times New Roman" w:hAnsi="Times New Roman"/>
          <w:color w:val="000000"/>
          <w:sz w:val="20"/>
        </w:rPr>
        <w:t>“</w:t>
      </w:r>
      <w:r>
        <w:rPr>
          <w:rFonts w:ascii="Times New Roman" w:hAnsi="Times New Roman"/>
          <w:b/>
          <w:i/>
          <w:color w:val="000000"/>
          <w:sz w:val="20"/>
        </w:rPr>
        <w:t>FOR</w:t>
      </w:r>
      <w:r>
        <w:rPr>
          <w:rFonts w:ascii="Times New Roman" w:hAnsi="Times New Roman"/>
          <w:color w:val="000000"/>
          <w:sz w:val="20"/>
        </w:rPr>
        <w:t xml:space="preserve">” </w:t>
      </w:r>
      <w:r>
        <w:rPr>
          <w:rFonts w:ascii="Times New Roman" w:hAnsi="Times New Roman"/>
          <w:b/>
          <w:i/>
          <w:color w:val="000000"/>
          <w:sz w:val="20"/>
        </w:rPr>
        <w:t>the Additional 10% Placement Capacity. However, brokers who are members of a U.S. national securities exchange may not vote or submit instructions to the proxy holders or CDN if the beneficial owner of the shares has not given instructions. The Additional 10% Placement Capacity requires the affirmative vote of 75% of votes cast by stockholders present or represented by proxy at Meeting and entitled to vote on the Additional 10% Placement Capacity.</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Voting exclusion</w:t>
      </w:r>
    </w:p>
    <w:p>
      <w:pPr>
        <w:pStyle w:val="TextBody"/>
        <w:bidi w:val="0"/>
        <w:spacing w:before="36" w:after="283"/>
        <w:jc w:val="left"/>
        <w:rPr/>
      </w:pPr>
      <w:r>
        <w:rPr/>
        <w:t> </w:t>
      </w:r>
    </w:p>
    <w:p>
      <w:pPr>
        <w:pStyle w:val="TextBody"/>
        <w:bidi w:val="0"/>
        <w:spacing w:before="22" w:after="283"/>
        <w:jc w:val="left"/>
        <w:rPr>
          <w:rFonts w:ascii="Times New Roman" w:hAnsi="Times New Roman"/>
          <w:color w:val="000000"/>
          <w:sz w:val="20"/>
        </w:rPr>
      </w:pPr>
      <w:r>
        <w:rPr>
          <w:rFonts w:ascii="Times New Roman" w:hAnsi="Times New Roman"/>
          <w:color w:val="000000"/>
          <w:sz w:val="20"/>
        </w:rPr>
        <w:t xml:space="preserve">No voting exclusion statement is included for Proposal 15 because the Company is not proposing any issues of Equity Securities under ASX Listing Rule 7.1A as of the date of this Proxy Statement. </w:t>
      </w:r>
    </w:p>
    <w:p>
      <w:pPr>
        <w:pStyle w:val="TextBody"/>
        <w:bidi w:val="0"/>
        <w:spacing w:before="22" w:after="283"/>
        <w:jc w:val="left"/>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47" w:name="other_matters"/>
      <w:bookmarkEnd w:id="47"/>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does not know of any matters other than those mentioned above to be presented at the Annual Meeting. </w:t>
      </w:r>
    </w:p>
    <w:p>
      <w:pPr>
        <w:pStyle w:val="TextBody"/>
        <w:bidi w:val="0"/>
        <w:jc w:val="left"/>
        <w:rPr/>
      </w:pPr>
      <w:r>
        <w:rPr/>
        <w:t> </w:t>
      </w:r>
    </w:p>
    <w:p>
      <w:pPr>
        <w:pStyle w:val="TextBody"/>
        <w:bidi w:val="0"/>
        <w:jc w:val="center"/>
        <w:rPr>
          <w:rFonts w:ascii="Times New Roman" w:hAnsi="Times New Roman"/>
          <w:b/>
          <w:color w:val="000000"/>
          <w:sz w:val="20"/>
        </w:rPr>
      </w:pPr>
      <w:bookmarkStart w:id="48" w:name="annual_report"/>
      <w:bookmarkEnd w:id="48"/>
      <w:r>
        <w:rPr>
          <w:rFonts w:ascii="Times New Roman" w:hAnsi="Times New Roman"/>
          <w:b/>
          <w:color w:val="000000"/>
          <w:sz w:val="20"/>
        </w:rPr>
        <w:t>ANNUAL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Form 10-K for the year ended December 31, 2025, including audited financial statements, is available at the Company’s website at www.avitamedical.com and is also available on the SEC’s website at </w:t>
      </w:r>
      <w:r>
        <w:rPr>
          <w:rFonts w:ascii="Times New Roman" w:hAnsi="Times New Roman"/>
          <w:sz w:val="20"/>
        </w:rPr>
        <w:t>www.sec.gov</w:t>
      </w:r>
      <w:r>
        <w:rPr>
          <w:rFonts w:ascii="Times New Roman" w:hAnsi="Times New Roman"/>
          <w:color w:val="000000"/>
          <w:sz w:val="20"/>
        </w:rPr>
        <w:t xml:space="preserve">. The Form 10-K is not incorporated in this Proxy Statement and is not to be considered a part of the soliciting material.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UPON WRITTEN REQUEST, THE COMPANY WILL PROVIDE, WITHOUT CHARGE, A COPY OF THE COMPANY’S ANNUAL REPORT ON FORM 10-K FOR THE YEAR ENDED DECEMBER 31, 2025 TO EACH STOCKHOLDER OF RECORD, TO EACH HOLDER OF CDIS OR TO EACH STOCKHOLDER WHO OWNED THE COMPANY’S COMMON STOCK LISTED IN THE NAME OF A BANK OR BROKER, AS NOMINEE, AT THE CLOSE OF BUSINESS ON APRIL 9, 2026. ANY REQUEST BY A STOCKHOLDER OR CDI HOLDER FOR THE COMPANY’S ANNUAL REPORT ON FORM 10-K SHOULD BE SENT TO INVESTOR RELATIONS AT AVITA MEDICAL, INC., 28159 AVENUE STANFORD, SUITE 220, VALENCIA, CALIFORNIA 91355. </w:t>
      </w:r>
    </w:p>
    <w:p>
      <w:pPr>
        <w:pStyle w:val="TextBody"/>
        <w:bidi w:val="0"/>
        <w:jc w:val="left"/>
        <w:rPr/>
      </w:pPr>
      <w:r>
        <w:rPr/>
        <w:t> </w:t>
      </w:r>
    </w:p>
    <w:p>
      <w:pPr>
        <w:pStyle w:val="TextBody"/>
        <w:bidi w:val="0"/>
        <w:jc w:val="center"/>
        <w:rPr>
          <w:rFonts w:ascii="Times New Roman" w:hAnsi="Times New Roman"/>
          <w:sz w:val="20"/>
        </w:rPr>
      </w:pPr>
      <w:bookmarkStart w:id="49" w:name="requirements_for_stockholder"/>
      <w:bookmarkEnd w:id="49"/>
      <w:r>
        <w:rPr>
          <w:rFonts w:ascii="Times New Roman" w:hAnsi="Times New Roman"/>
          <w:b/>
          <w:color w:val="000000"/>
          <w:sz w:val="20"/>
        </w:rPr>
        <w:t>REQUIREMENTS FOR STOCKHOLDER PROPOSALS TO BE BROUGHT BEFORE THE 2027 ANNUAL MEETING OF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proposals intended to be considered for inclusion in the proxy materials for the 2027 Annual Meeting of Stockholders pursuant to Rule 14a-8 under the Exchange Act must be submitted in writing to the Company’s Secretary at AVITA Medical, Inc., 28159 Avenue Stanford, Suite 220, Valencia, California 91355, and received no later than December 28, 2026, in order to be considered for inclusion in the Company’s proxy statement and form of proxy for that meeting. In addition, such proposals must satisfy the requirements set forth in the Company's Bylaws.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Notice of any director nomination or other proposal that you intend to present at the 2027 Annual Meeting of Stockholders, but do not intend to have included in the proxy statement and form of proxy relating to that meeting, must be delivered to the Company’s Secretary at 28159 Avenue Stanford, Suite 220, Valencia, California, 91355 no earlier than the close of business on February 3, 2027, and not later than the close of business on March 5, 2027. In addition, your notice must set forth the information required by the Company’s Bylaws with respect to each director nomination or other proposal that you intend to present at the 2027 Annual Meeting of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comply with the universal proxy rules, stockholders who intend to solicit proxies in support of director nominees other than the Company’s nominees must provide timely notice by April 4, 2027, and include in the notice the information required by Rule 14a-19(b) under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section is subject to, and qualified entirely by, the requirements for stockholder proposals set forth in the Company’s Bylaws. A copy of the Company’s Bylaws is available upon written request to the Company’s Secretary at 28159 Avenue Stanford, Suite 220, Valencia, California, 91355. </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50" w:name="certain_relationships_and_related"/>
      <w:bookmarkEnd w:id="50"/>
      <w:r>
        <w:rPr>
          <w:rFonts w:ascii="Times New Roman" w:hAnsi="Times New Roman"/>
          <w:b/>
          <w:color w:val="000000"/>
          <w:sz w:val="20"/>
        </w:rPr>
        <w:t>CERTAIN RELATIONSHIPS AND RELATED PERSON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 rules require us to disclose, as of the end of the last two completed fiscal years, any transaction or currently proposed transaction in which the Company is a participant and in which any related person has or will have a direct or indirect material interest involving the lesser of $120,000 or 1% of the average of the Company’s total assets. A related person is any executive officer, director, nominee for director, or holder of 5% or more of the Company’s Common Stock, or an immediate family member of any of those persons. Since January 1, 2024, the Company has not participated in any such related party transaction. </w:t>
      </w:r>
    </w:p>
    <w:p>
      <w:pPr>
        <w:pStyle w:val="TextBody"/>
        <w:bidi w:val="0"/>
        <w:jc w:val="left"/>
        <w:rPr/>
      </w:pPr>
      <w:r>
        <w:rPr/>
        <w:t> </w:t>
      </w:r>
    </w:p>
    <w:p>
      <w:pPr>
        <w:pStyle w:val="TextBody"/>
        <w:bidi w:val="0"/>
        <w:jc w:val="center"/>
        <w:rPr>
          <w:rFonts w:ascii="Times New Roman" w:hAnsi="Times New Roman"/>
          <w:sz w:val="20"/>
        </w:rPr>
      </w:pPr>
      <w:bookmarkStart w:id="51" w:name="delinquent_section_16_reports"/>
      <w:bookmarkEnd w:id="51"/>
      <w:r>
        <w:rPr>
          <w:rFonts w:ascii="Times New Roman" w:hAnsi="Times New Roman"/>
          <w:b/>
          <w:color w:val="000000"/>
          <w:sz w:val="20"/>
        </w:rPr>
        <w:t>DELINQUENT SECTION 16(a) REPORTS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Section 16(a) of the Exchange Act requires the Company’s directors and certain of its executive officers and persons who beneficially own more than 10% of the Common Stock to file reports of and changes in ownership with the SEC. Based solely on the Company’s review of copies of SEC filings it has received or filed, the Company believes that each of its directors, executive officers, and beneficial owners of more than 10% of the Common Stock satisfied the Section 16(a) filing requirements during the year ended December 31, 2025. </w:t>
      </w:r>
    </w:p>
    <w:p>
      <w:pPr>
        <w:pStyle w:val="TextBody"/>
        <w:bidi w:val="0"/>
        <w:jc w:val="left"/>
        <w:rPr/>
      </w:pPr>
      <w:r>
        <w:rPr/>
        <w:t> </w:t>
      </w:r>
    </w:p>
    <w:p>
      <w:pPr>
        <w:pStyle w:val="TextBody"/>
        <w:bidi w:val="0"/>
        <w:jc w:val="center"/>
        <w:rPr>
          <w:rFonts w:ascii="Times New Roman" w:hAnsi="Times New Roman"/>
          <w:b/>
          <w:color w:val="000000"/>
          <w:sz w:val="20"/>
        </w:rPr>
      </w:pPr>
      <w:bookmarkStart w:id="52" w:name="householding_materials"/>
      <w:bookmarkEnd w:id="52"/>
      <w:r>
        <w:rPr>
          <w:rFonts w:ascii="Times New Roman" w:hAnsi="Times New Roman"/>
          <w:b/>
          <w:color w:val="000000"/>
          <w:sz w:val="20"/>
        </w:rPr>
        <w:t>HOUSEHOLDING OF ANNUAL MEETING MATERIALS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 rules permit registrants to send a single copy of their proxy materials to any household at which two or more stockholders reside if the registrant believes they are members of the same family. This procedure, referred to as “householding,” reduces the volume of duplicate information stockholders receive and reduces the expense to the Company. While the Company has not implemented these householding rules with respect to its record holders, a number of brokerage firms have instituted householding, which may affect certain beneficial owners of Common Stock. If your family has multiple accounts by which you hold Common Stock, you may have previously received a householding notification from your broker. Please contact your broker directly if you require additional copies of the proxy materials or have any questions, or if you wish to revoke your decision to household so that you may receive multiple copies of the proxy materials. These options are available to you at any time.</w:t>
      </w:r>
    </w:p>
    <w:p>
      <w:pPr>
        <w:pStyle w:val="TextBody"/>
        <w:bidi w:val="0"/>
        <w:jc w:val="left"/>
        <w:rPr/>
      </w:pPr>
      <w:r>
        <w:rPr/>
        <w:t> </w:t>
      </w:r>
    </w:p>
    <w:p>
      <w:pPr>
        <w:pStyle w:val="TextBody"/>
        <w:bidi w:val="0"/>
        <w:jc w:val="center"/>
        <w:rPr>
          <w:rFonts w:ascii="Times New Roman" w:hAnsi="Times New Roman"/>
          <w:sz w:val="20"/>
        </w:rPr>
      </w:pPr>
      <w:bookmarkStart w:id="53" w:name="where_you_can_find_more"/>
      <w:bookmarkEnd w:id="53"/>
      <w:r>
        <w:rPr>
          <w:rFonts w:ascii="Times New Roman" w:hAnsi="Times New Roman"/>
          <w:b/>
          <w:color w:val="000000"/>
          <w:sz w:val="20"/>
        </w:rPr>
        <w:t>WHERE YOU CAN FIND MORE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files annual, quarterly, and special reports, proxy statements and other information with the SEC. Stockholders may read and copy any reports, statements, or other information that the Company files at the SEC’s public reference room in Washington, D.C. Please call the SEC at 1-800-SEC-0330 for further information about the public reference room. The Company’s public filings are also available from commercial document retrieval services and at the SEC’s website located at </w:t>
      </w:r>
      <w:r>
        <w:rPr>
          <w:rFonts w:ascii="Times New Roman" w:hAnsi="Times New Roman"/>
          <w:i/>
          <w:color w:val="000000"/>
          <w:sz w:val="20"/>
        </w:rPr>
        <w:t>www.sec.gov</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Copies of announcements lodged by the Company on ASX are available on the ASX website (www.asx.com.au).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APRIL 22, 2026. STOCKHOLDERS AND CDI HOLDERS SHOULD NOT ASSUME THAT THE INFORMATION CONTAINED IN THIS PROXY STATEMENT IS ACCURATE AS OF ANY DATE OTHER THAN THAT DATE. </w:t>
      </w:r>
    </w:p>
    <w:p>
      <w:pPr>
        <w:pStyle w:val="TextBody"/>
        <w:bidi w:val="0"/>
        <w:jc w:val="left"/>
        <w:rPr/>
      </w:pPr>
      <w:r>
        <w:rPr/>
        <w:t> </w:t>
      </w:r>
    </w:p>
    <w:tbl>
      <w:tblPr>
        <w:tblW w:w="5101" w:type="dxa"/>
        <w:jc w:val="left"/>
        <w:tblInd w:w="0" w:type="dxa"/>
        <w:tblLayout w:type="fixed"/>
        <w:tblCellMar>
          <w:top w:w="28" w:type="dxa"/>
          <w:left w:w="28" w:type="dxa"/>
          <w:bottom w:w="28" w:type="dxa"/>
          <w:right w:w="28" w:type="dxa"/>
        </w:tblCellMar>
      </w:tblPr>
      <w:tblGrid>
        <w:gridCol w:w="5101"/>
      </w:tblGrid>
      <w:tr>
        <w:trPr/>
        <w:tc>
          <w:tcPr>
            <w:tcW w:w="510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Nicole Kelsey</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Nicole Kelsey</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and Compliance Officer and Corporate Secretary</w:t>
            </w:r>
          </w:p>
        </w:tc>
      </w:tr>
    </w:tbl>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Annexure A</w:t>
      </w:r>
    </w:p>
    <w:p>
      <w:pPr>
        <w:pStyle w:val="TextBody"/>
        <w:bidi w:val="0"/>
        <w:jc w:val="right"/>
        <w:rPr/>
      </w:pPr>
      <w:r>
        <w:rPr/>
        <w:t> </w:t>
      </w:r>
    </w:p>
    <w:p>
      <w:pPr>
        <w:pStyle w:val="TextBody"/>
        <w:pBdr>
          <w:top w:val="double" w:sz="4" w:space="1" w:color="000000"/>
        </w:pBdr>
        <w:bidi w:val="0"/>
        <w:spacing w:before="0" w:after="48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Credit Agreement and Guaranty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dated as of</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January 13,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among</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smallCaps/>
          <w:color w:val="000000"/>
          <w:sz w:val="24"/>
        </w:rPr>
        <w:t>AVITA Medical, Inc.,</w:t>
        <w:br/>
      </w:r>
      <w:r>
        <w:rPr>
          <w:rFonts w:ascii="Times New Roman" w:hAnsi="Times New Roman"/>
          <w:color w:val="000000"/>
          <w:sz w:val="24"/>
        </w:rPr>
        <w:t>as the Borrower</w:t>
      </w:r>
      <w:r>
        <w:rPr>
          <w:rFonts w:ascii="Times New Roman" w:hAnsi="Times New Roman"/>
          <w:smallCaps/>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The Guarantors from Time to Time Party hereto,</w:t>
      </w:r>
    </w:p>
    <w:p>
      <w:pPr>
        <w:pStyle w:val="TextBody"/>
        <w:bidi w:val="0"/>
        <w:jc w:val="center"/>
        <w:rPr>
          <w:rFonts w:ascii="Times New Roman" w:hAnsi="Times New Roman"/>
          <w:color w:val="000000"/>
          <w:sz w:val="24"/>
        </w:rPr>
      </w:pPr>
      <w:bookmarkStart w:id="54" w:name="annexure_a"/>
      <w:bookmarkEnd w:id="54"/>
      <w:r>
        <w:rPr>
          <w:rFonts w:ascii="Times New Roman" w:hAnsi="Times New Roman"/>
          <w:color w:val="000000"/>
          <w:sz w:val="24"/>
        </w:rPr>
        <w:t>as Guarantors,</w:t>
      </w:r>
    </w:p>
    <w:p>
      <w:pPr>
        <w:pStyle w:val="TextBody"/>
        <w:bidi w:val="0"/>
        <w:jc w:val="center"/>
        <w:rPr>
          <w:rFonts w:ascii="Times New Roman" w:hAnsi="Times New Roman"/>
          <w:sz w:val="20"/>
        </w:rPr>
      </w:pPr>
      <w:r>
        <w:rPr>
          <w:rFonts w:ascii="Times New Roman" w:hAnsi="Times New Roman"/>
          <w:smallCaps/>
          <w:color w:val="000000"/>
          <w:sz w:val="24"/>
        </w:rPr>
        <w:t>The Lenders from Time to Time Party hereto</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as Lenders,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Perceptive Credit Holdings V, LP,</w:t>
      </w:r>
    </w:p>
    <w:p>
      <w:pPr>
        <w:pStyle w:val="TextBody"/>
        <w:bidi w:val="0"/>
        <w:jc w:val="center"/>
        <w:rPr>
          <w:rFonts w:ascii="Times New Roman" w:hAnsi="Times New Roman"/>
          <w:color w:val="000000"/>
          <w:sz w:val="24"/>
        </w:rPr>
      </w:pPr>
      <w:r>
        <w:rPr>
          <w:rFonts w:ascii="Times New Roman" w:hAnsi="Times New Roman"/>
          <w:color w:val="000000"/>
          <w:sz w:val="24"/>
        </w:rPr>
        <w:t>as the Administrative Agent and as a Lender</w:t>
      </w:r>
    </w:p>
    <w:p>
      <w:pPr>
        <w:pStyle w:val="TextBody"/>
        <w:bidi w:val="0"/>
        <w:jc w:val="left"/>
        <w:rPr/>
      </w:pPr>
      <w:r>
        <w:rPr/>
        <w:t> </w:t>
      </w:r>
    </w:p>
    <w:p>
      <w:pPr>
        <w:pStyle w:val="TextBody"/>
        <w:bidi w:val="0"/>
        <w:jc w:val="center"/>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Table of Contents</w:t>
      </w:r>
    </w:p>
    <w:p>
      <w:pPr>
        <w:pStyle w:val="TextBody"/>
        <w:bidi w:val="0"/>
        <w:jc w:val="center"/>
        <w:rPr/>
      </w:pPr>
      <w:r>
        <w:rPr/>
        <w:t> </w:t>
      </w:r>
    </w:p>
    <w:tbl>
      <w:tblPr>
        <w:tblW w:w="2538" w:type="dxa"/>
        <w:jc w:val="left"/>
        <w:tblInd w:w="0" w:type="dxa"/>
        <w:tblLayout w:type="fixed"/>
        <w:tblCellMar>
          <w:top w:w="28" w:type="dxa"/>
          <w:left w:w="28" w:type="dxa"/>
          <w:bottom w:w="28" w:type="dxa"/>
          <w:right w:w="28" w:type="dxa"/>
        </w:tblCellMar>
      </w:tblPr>
      <w:tblGrid>
        <w:gridCol w:w="931"/>
        <w:gridCol w:w="961"/>
        <w:gridCol w:w="646"/>
      </w:tblGrid>
      <w:tr>
        <w:trPr/>
        <w:tc>
          <w:tcPr>
            <w:tcW w:w="93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w:t>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HEADING</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PAGE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94"/>
        <w:gridCol w:w="2911"/>
      </w:tblGrid>
      <w:tr>
        <w:trPr/>
        <w:tc>
          <w:tcPr>
            <w:tcW w:w="729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I Definitions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1.01. Certain Defined Terms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1.02. Accounting Terms and Principles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1.03. Interpretation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1.04. Divisions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1.05. Interest Rates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30</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2 The Commitments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2.01. Term Loans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2.02. Proportionate Shares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2.03. Fees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2.04. Notes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2.05. Use of Proceeds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32</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3 Payments of Principal and Interest</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33</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3.01. Repayment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33</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3.02. Interest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33</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3.03. Prepayments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35</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4 Payments, Etc.</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4.01. Payments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4.02. Computations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4.03. Notices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4.04. Set</w:t>
              <w:noBreakHyphen/>
              <w:t>Off</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40</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5 Yield Protection, Etc.</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40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5.01. Additional Costs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5.02. Illegality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5.03. Taxes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5.04. Delay in Requests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46</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6 Conditions Precedent</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47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6.01. Conditions to Tranche A Term Loan; Closing Date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6.02. Conditions to Tranche B Term Loan; Tranche B Loan Borrowing Date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50</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7 Representations and Warranties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51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7.01. Power and Authority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7.02. Authorization; Enforceability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7.03. Governmental and Other Approvals; No Conflicts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7.04. Financial Statements; Projections; Material Adverse Change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7.05. Properties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53</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7.06. No Actions or Proceedings</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94"/>
        <w:gridCol w:w="2911"/>
      </w:tblGrid>
      <w:tr>
        <w:trPr/>
        <w:tc>
          <w:tcPr>
            <w:tcW w:w="729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7.07. Compliance with Laws and Agreements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55</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7.08. Taxes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7.09. Full Disclosure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7.10. Regulation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7.11. Solvency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7.12. Subsidiaries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7.13. Indebtedness and Liens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7.14. Material Agreements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7.15. Restrictive Agreements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7.16. Real Property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7.17. Pension and Other Plans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7.18. Collateral; Security Interest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7.19. Regulatory Approvals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7.20. Capitalization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7.21. Insurance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7.22. Certain Fees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7.23. Sanctions Laws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7.24. Anti</w:t>
              <w:noBreakHyphen/>
              <w:t>Corruption Laws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7.25. Anti</w:t>
              <w:noBreakHyphen/>
              <w:t>Terrorism Laws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7.26. Royalty and Other Payments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62</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8 Affirmative Covenants and Financial Covenants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62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8.01. Financial Statements and Other Information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8.02. Notices of Material Events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65</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8.03. Existence; Maintenance of Properties, Etc</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8.04. Payment of Obligations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8.05. Insurance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68</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8.06. Books and Records; Inspection Rights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8.07. Compliance with Laws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8.08. Licenses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8.09. Action under Environmental Laws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8.10. Use of Proceeds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8.11. Certain Obligations Respecting Subsidiaries; Further Assurances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8.12. Termination of Non</w:t>
              <w:noBreakHyphen/>
              <w:t>Permitted Liens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8.13. Non</w:t>
              <w:noBreakHyphen/>
              <w:t>Consolidation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8.14. Anti</w:t>
              <w:noBreakHyphen/>
              <w:t>Terrorism and Anti</w:t>
              <w:noBreakHyphen/>
              <w:t>Corruption Laws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8.15. Financial Covenants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8.16. Maintenance of Regulatory Approvals, Contracts, Intellectual Property, Etc.</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73</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8.17. Cash Management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74</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8.18. Post-Closing Obligations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74</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8.19. Warrant Certificate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74</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9 Negative Covenants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74</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9.01. Indebtedness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74</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9.02. Liens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75</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9.03. Fundamental Changes and Acquisitions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9.04. Lines of Business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9.05. Investments</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94"/>
        <w:gridCol w:w="2911"/>
      </w:tblGrid>
      <w:tr>
        <w:trPr/>
        <w:tc>
          <w:tcPr>
            <w:tcW w:w="729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9.06. Restricted Payments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9.07. Payments of Indebtedness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9.08. Change in Fiscal Year</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9.09. Sales of Assets, Etc</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9.10. Transactions with Affiliates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9.11. Restrictive Agreements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9.12. Organizational Documents, Material Agreements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9.13. Reserved.</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9.14. Sales and Leasebacks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9.15. Hazardous Material</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9.16. Accounting Changes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9.17. Compliance with ERISA</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9.18. Deposit Accounts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9.19. Outbound Licenses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9.20. Inbound Licenses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9.21. Reimbursement from Third-Party Payor Program</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82</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10 Events of Default</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83</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10.01. Events of Default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83</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10.02. Remedies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85</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10.03. Exit Fee; Prepayment Premium and Redemption Price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86</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11 Guarantee</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86</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11.01. The Guarantee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86</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11.02. Obligations Unconditional</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87</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11.03. Reinstatement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11.04. Subrogation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11.05. Remedies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11.06. Instrument for the Payment of Money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89</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11.07. Continuing Guarantee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11.08. Rights of Contribution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90</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11.09. General Limitation on Guarantee Obligations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90</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12 Administrative Agent</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91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12.01. Appointment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12.02. Rights as a Lender</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12.03. Exculpatory Provisions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91</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12.04. Reliance by Administrative Agent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92</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12.05. Delegation of Duties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93</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12.06. Resignation of Agent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93</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12.07. Non</w:t>
              <w:noBreakHyphen/>
              <w:t>Reliance on Administrative Agent and Other Lenders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94</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12.08. Administrative Agent May File Proofs of Claim</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94</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12.09. Collateral and Guaranty Matters; Appointment of Collateral Agent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95</w:t>
            </w:r>
          </w:p>
        </w:tc>
      </w:tr>
      <w:tr>
        <w:trPr/>
        <w:tc>
          <w:tcPr>
            <w:tcW w:w="7294"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left"/>
              <w:rPr>
                <w:rFonts w:ascii="Times New Roman" w:hAnsi="Times New Roman"/>
                <w:smallCaps/>
                <w:color w:val="000000"/>
                <w:sz w:val="24"/>
              </w:rPr>
            </w:pPr>
            <w:r>
              <w:rPr>
                <w:rFonts w:ascii="Times New Roman" w:hAnsi="Times New Roman"/>
                <w:smallCaps/>
                <w:color w:val="000000"/>
                <w:sz w:val="24"/>
              </w:rPr>
              <w:t>Article 13 Miscellaneous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96</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13.01. No Waiver</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96</w:t>
            </w:r>
          </w:p>
        </w:tc>
      </w:tr>
      <w:tr>
        <w:trPr/>
        <w:tc>
          <w:tcPr>
            <w:tcW w:w="729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13.02. Notices</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74"/>
        <w:gridCol w:w="3031"/>
      </w:tblGrid>
      <w:tr>
        <w:trPr/>
        <w:tc>
          <w:tcPr>
            <w:tcW w:w="7174"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13.03. Expenses, Indemnification, Etc</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96</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13.04. Amendments, Etc</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97</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13.05. Successors and Assigns</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98</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13.06. Survival</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101</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13.07. Captions</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101</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13.08. Counterparts</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102</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13.09. Governing Law</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102</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13.10. Jurisdiction, Service of Process and Venue</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102</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13.11. Waiver of Jury Trial</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103</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13.12. Waiver of Immunity</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103</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13.13. Entire Agreement</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103</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13.14. Severability</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103</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13.15. No Fiduciary Relationship</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103</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13.16. USA Patriot Act</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104</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13.17. Treatment of Certain Information; Confidentiality</w:t>
            </w:r>
          </w:p>
        </w:tc>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104</w:t>
            </w:r>
          </w:p>
        </w:tc>
      </w:tr>
      <w:tr>
        <w:trPr/>
        <w:tc>
          <w:tcPr>
            <w:tcW w:w="7174"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13.18. Releases of Guarantees and Liens</w:t>
            </w:r>
          </w:p>
        </w:tc>
        <w:tc>
          <w:tcPr>
            <w:tcW w:w="3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105</w:t>
            </w:r>
          </w:p>
        </w:tc>
      </w:tr>
    </w:tbl>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Schedules:</w:t>
      </w:r>
    </w:p>
    <w:p>
      <w:pPr>
        <w:pStyle w:val="TextBody"/>
        <w:bidi w:val="0"/>
        <w:spacing w:before="200" w:after="283"/>
        <w:jc w:val="left"/>
        <w:rPr>
          <w:rFonts w:ascii="Times New Roman" w:hAnsi="Times New Roman"/>
          <w:sz w:val="20"/>
        </w:rPr>
      </w:pPr>
      <w:r>
        <w:rPr>
          <w:rFonts w:ascii="Times New Roman" w:hAnsi="Times New Roman"/>
          <w:smallCaps/>
          <w:color w:val="000000"/>
          <w:sz w:val="24"/>
        </w:rPr>
        <w:t xml:space="preserve">Schedule </w:t>
      </w:r>
      <w:r>
        <w:rPr>
          <w:rFonts w:ascii="Times New Roman" w:hAnsi="Times New Roman"/>
          <w:color w:val="000000"/>
          <w:sz w:val="24"/>
        </w:rPr>
        <w:t>1</w:t>
      </w:r>
      <w:r>
        <w:rPr>
          <w:rFonts w:ascii="Times New Roman" w:hAnsi="Times New Roman"/>
          <w:color w:val="000000"/>
          <w:sz w:val="20"/>
        </w:rPr>
        <w:t xml:space="preserve"> — </w:t>
      </w:r>
      <w:r>
        <w:rPr>
          <w:rFonts w:ascii="Times New Roman" w:hAnsi="Times New Roman"/>
          <w:color w:val="000000"/>
          <w:sz w:val="24"/>
        </w:rPr>
        <w:t>Commitments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smallCaps/>
          <w:color w:val="000000"/>
          <w:sz w:val="24"/>
        </w:rPr>
        <w:t>Schedule 2</w:t>
      </w:r>
      <w:r>
        <w:rPr>
          <w:rFonts w:ascii="Times New Roman" w:hAnsi="Times New Roman"/>
          <w:color w:val="000000"/>
          <w:sz w:val="20"/>
        </w:rPr>
        <w:t xml:space="preserve"> — </w:t>
      </w:r>
      <w:r>
        <w:rPr>
          <w:rFonts w:ascii="Times New Roman" w:hAnsi="Times New Roman"/>
          <w:color w:val="000000"/>
          <w:sz w:val="24"/>
        </w:rPr>
        <w:t>Notice Addresses</w:t>
      </w:r>
    </w:p>
    <w:p>
      <w:pPr>
        <w:pStyle w:val="TextBody"/>
        <w:bidi w:val="0"/>
        <w:jc w:val="left"/>
        <w:rPr>
          <w:rFonts w:ascii="Times New Roman" w:hAnsi="Times New Roman"/>
          <w:sz w:val="20"/>
        </w:rPr>
      </w:pPr>
      <w:r>
        <w:rPr>
          <w:rFonts w:ascii="Times New Roman" w:hAnsi="Times New Roman"/>
          <w:smallCaps/>
          <w:color w:val="000000"/>
          <w:sz w:val="24"/>
        </w:rPr>
        <w:t>Schedule 3</w:t>
      </w:r>
      <w:r>
        <w:rPr>
          <w:rFonts w:ascii="Times New Roman" w:hAnsi="Times New Roman"/>
          <w:color w:val="000000"/>
          <w:sz w:val="20"/>
        </w:rPr>
        <w:t xml:space="preserve"> — </w:t>
      </w:r>
      <w:r>
        <w:rPr>
          <w:rFonts w:ascii="Times New Roman" w:hAnsi="Times New Roman"/>
          <w:color w:val="000000"/>
          <w:sz w:val="24"/>
        </w:rPr>
        <w:t>Products</w:t>
      </w:r>
    </w:p>
    <w:p>
      <w:pPr>
        <w:pStyle w:val="TextBody"/>
        <w:bidi w:val="0"/>
        <w:jc w:val="left"/>
        <w:rPr>
          <w:rFonts w:ascii="Times New Roman" w:hAnsi="Times New Roman"/>
          <w:sz w:val="20"/>
        </w:rPr>
      </w:pPr>
      <w:r>
        <w:rPr>
          <w:rFonts w:ascii="Times New Roman" w:hAnsi="Times New Roman"/>
          <w:smallCaps/>
          <w:color w:val="000000"/>
          <w:sz w:val="24"/>
        </w:rPr>
        <w:t>Schedule 7.05(</w:t>
      </w:r>
      <w:r>
        <w:rPr>
          <w:rFonts w:ascii="Times New Roman" w:hAnsi="Times New Roman"/>
          <w:color w:val="000000"/>
          <w:sz w:val="24"/>
        </w:rPr>
        <w:t>b</w:t>
      </w:r>
      <w:r>
        <w:rPr>
          <w:rFonts w:ascii="Times New Roman" w:hAnsi="Times New Roman"/>
          <w:smallCaps/>
          <w:color w:val="000000"/>
          <w:sz w:val="24"/>
        </w:rPr>
        <w:t>)</w:t>
      </w:r>
      <w:r>
        <w:rPr>
          <w:rFonts w:ascii="Times New Roman" w:hAnsi="Times New Roman"/>
          <w:color w:val="000000"/>
          <w:sz w:val="20"/>
        </w:rPr>
        <w:t xml:space="preserve"> — </w:t>
      </w:r>
      <w:r>
        <w:rPr>
          <w:rFonts w:ascii="Times New Roman" w:hAnsi="Times New Roman"/>
          <w:color w:val="000000"/>
          <w:sz w:val="24"/>
        </w:rPr>
        <w:t>Obligor Intellectual Property</w:t>
      </w:r>
    </w:p>
    <w:p>
      <w:pPr>
        <w:pStyle w:val="TextBody"/>
        <w:bidi w:val="0"/>
        <w:jc w:val="left"/>
        <w:rPr>
          <w:rFonts w:ascii="Times New Roman" w:hAnsi="Times New Roman"/>
          <w:sz w:val="20"/>
        </w:rPr>
      </w:pPr>
      <w:r>
        <w:rPr>
          <w:rFonts w:ascii="Times New Roman" w:hAnsi="Times New Roman"/>
          <w:smallCaps/>
          <w:color w:val="000000"/>
          <w:sz w:val="24"/>
        </w:rPr>
        <w:t>Schedule 7.14</w:t>
      </w:r>
      <w:r>
        <w:rPr>
          <w:rFonts w:ascii="Times New Roman" w:hAnsi="Times New Roman"/>
          <w:color w:val="000000"/>
          <w:sz w:val="20"/>
        </w:rPr>
        <w:t xml:space="preserve"> — </w:t>
      </w:r>
      <w:r>
        <w:rPr>
          <w:rFonts w:ascii="Times New Roman" w:hAnsi="Times New Roman"/>
          <w:color w:val="000000"/>
          <w:sz w:val="24"/>
        </w:rPr>
        <w:t>Material Agreements</w:t>
      </w:r>
    </w:p>
    <w:p>
      <w:pPr>
        <w:pStyle w:val="TextBody"/>
        <w:bidi w:val="0"/>
        <w:jc w:val="left"/>
        <w:rPr>
          <w:rFonts w:ascii="Times New Roman" w:hAnsi="Times New Roman"/>
          <w:sz w:val="20"/>
        </w:rPr>
      </w:pPr>
      <w:r>
        <w:rPr>
          <w:rFonts w:ascii="Times New Roman" w:hAnsi="Times New Roman"/>
          <w:smallCaps/>
          <w:color w:val="000000"/>
          <w:sz w:val="24"/>
        </w:rPr>
        <w:t>Schedule 7.15</w:t>
      </w:r>
      <w:r>
        <w:rPr>
          <w:rFonts w:ascii="Times New Roman" w:hAnsi="Times New Roman"/>
          <w:color w:val="000000"/>
          <w:sz w:val="20"/>
        </w:rPr>
        <w:t xml:space="preserve"> — </w:t>
      </w:r>
      <w:r>
        <w:rPr>
          <w:rFonts w:ascii="Times New Roman" w:hAnsi="Times New Roman"/>
          <w:color w:val="000000"/>
          <w:sz w:val="24"/>
        </w:rPr>
        <w:t>Restrictive Agreements</w:t>
      </w:r>
    </w:p>
    <w:p>
      <w:pPr>
        <w:pStyle w:val="TextBody"/>
        <w:bidi w:val="0"/>
        <w:jc w:val="left"/>
        <w:rPr>
          <w:rFonts w:ascii="Times New Roman" w:hAnsi="Times New Roman"/>
          <w:sz w:val="20"/>
        </w:rPr>
      </w:pPr>
      <w:r>
        <w:rPr>
          <w:rFonts w:ascii="Times New Roman" w:hAnsi="Times New Roman"/>
          <w:smallCaps/>
          <w:color w:val="000000"/>
          <w:sz w:val="24"/>
        </w:rPr>
        <w:t>Schedule 7.16</w:t>
      </w:r>
      <w:r>
        <w:rPr>
          <w:rFonts w:ascii="Times New Roman" w:hAnsi="Times New Roman"/>
          <w:color w:val="000000"/>
          <w:sz w:val="20"/>
        </w:rPr>
        <w:t xml:space="preserve"> — </w:t>
      </w:r>
      <w:r>
        <w:rPr>
          <w:rFonts w:ascii="Times New Roman" w:hAnsi="Times New Roman"/>
          <w:color w:val="000000"/>
          <w:sz w:val="24"/>
        </w:rPr>
        <w:t>Real Property</w:t>
      </w:r>
    </w:p>
    <w:p>
      <w:pPr>
        <w:pStyle w:val="TextBody"/>
        <w:bidi w:val="0"/>
        <w:jc w:val="left"/>
        <w:rPr>
          <w:rFonts w:ascii="Times New Roman" w:hAnsi="Times New Roman"/>
          <w:sz w:val="20"/>
        </w:rPr>
      </w:pPr>
      <w:r>
        <w:rPr>
          <w:rFonts w:ascii="Times New Roman" w:hAnsi="Times New Roman"/>
          <w:smallCaps/>
          <w:color w:val="000000"/>
          <w:sz w:val="24"/>
        </w:rPr>
        <w:t>Schedule 7.17</w:t>
      </w:r>
      <w:r>
        <w:rPr>
          <w:rFonts w:ascii="Times New Roman" w:hAnsi="Times New Roman"/>
          <w:color w:val="000000"/>
          <w:sz w:val="20"/>
        </w:rPr>
        <w:t xml:space="preserve"> — </w:t>
      </w:r>
      <w:r>
        <w:rPr>
          <w:rFonts w:ascii="Times New Roman" w:hAnsi="Times New Roman"/>
          <w:color w:val="000000"/>
          <w:sz w:val="24"/>
        </w:rPr>
        <w:t>Pension Matters</w:t>
      </w:r>
    </w:p>
    <w:p>
      <w:pPr>
        <w:pStyle w:val="TextBody"/>
        <w:bidi w:val="0"/>
        <w:jc w:val="left"/>
        <w:rPr>
          <w:rFonts w:ascii="Times New Roman" w:hAnsi="Times New Roman"/>
          <w:sz w:val="20"/>
        </w:rPr>
      </w:pPr>
      <w:r>
        <w:rPr>
          <w:rFonts w:ascii="Times New Roman" w:hAnsi="Times New Roman"/>
          <w:smallCaps/>
          <w:color w:val="000000"/>
          <w:sz w:val="24"/>
        </w:rPr>
        <w:t>Schedule 7.19(</w:t>
      </w:r>
      <w:r>
        <w:rPr>
          <w:rFonts w:ascii="Times New Roman" w:hAnsi="Times New Roman"/>
          <w:color w:val="000000"/>
          <w:sz w:val="24"/>
        </w:rPr>
        <w:t>b</w:t>
      </w:r>
      <w:r>
        <w:rPr>
          <w:rFonts w:ascii="Times New Roman" w:hAnsi="Times New Roman"/>
          <w:smallCaps/>
          <w:color w:val="000000"/>
          <w:sz w:val="24"/>
        </w:rPr>
        <w:t>)</w:t>
      </w:r>
      <w:r>
        <w:rPr>
          <w:rFonts w:ascii="Times New Roman" w:hAnsi="Times New Roman"/>
          <w:color w:val="000000"/>
          <w:sz w:val="20"/>
        </w:rPr>
        <w:t xml:space="preserve"> — </w:t>
      </w:r>
      <w:r>
        <w:rPr>
          <w:rFonts w:ascii="Times New Roman" w:hAnsi="Times New Roman"/>
          <w:color w:val="000000"/>
          <w:sz w:val="24"/>
        </w:rPr>
        <w:t>Regulatory Approvals</w:t>
      </w:r>
    </w:p>
    <w:p>
      <w:pPr>
        <w:pStyle w:val="TextBody"/>
        <w:bidi w:val="0"/>
        <w:jc w:val="left"/>
        <w:rPr>
          <w:rFonts w:ascii="Times New Roman" w:hAnsi="Times New Roman"/>
          <w:sz w:val="20"/>
        </w:rPr>
      </w:pPr>
      <w:r>
        <w:rPr>
          <w:rFonts w:ascii="Times New Roman" w:hAnsi="Times New Roman"/>
          <w:smallCaps/>
          <w:color w:val="000000"/>
          <w:sz w:val="24"/>
        </w:rPr>
        <w:t>Schedule 7.19(</w:t>
      </w:r>
      <w:r>
        <w:rPr>
          <w:rFonts w:ascii="Times New Roman" w:hAnsi="Times New Roman"/>
          <w:color w:val="000000"/>
          <w:sz w:val="24"/>
        </w:rPr>
        <w:t>e</w:t>
      </w:r>
      <w:r>
        <w:rPr>
          <w:rFonts w:ascii="Times New Roman" w:hAnsi="Times New Roman"/>
          <w:smallCaps/>
          <w:color w:val="000000"/>
          <w:sz w:val="24"/>
        </w:rPr>
        <w:t>)</w:t>
      </w:r>
      <w:r>
        <w:rPr>
          <w:rFonts w:ascii="Times New Roman" w:hAnsi="Times New Roman"/>
          <w:color w:val="000000"/>
          <w:sz w:val="20"/>
        </w:rPr>
        <w:t xml:space="preserve"> — </w:t>
      </w:r>
      <w:r>
        <w:rPr>
          <w:rFonts w:ascii="Times New Roman" w:hAnsi="Times New Roman"/>
          <w:color w:val="000000"/>
          <w:sz w:val="24"/>
        </w:rPr>
        <w:t>Regulatory Notices</w:t>
      </w:r>
    </w:p>
    <w:p>
      <w:pPr>
        <w:pStyle w:val="TextBody"/>
        <w:bidi w:val="0"/>
        <w:jc w:val="left"/>
        <w:rPr>
          <w:rFonts w:ascii="Times New Roman" w:hAnsi="Times New Roman"/>
          <w:sz w:val="20"/>
        </w:rPr>
      </w:pPr>
      <w:r>
        <w:rPr>
          <w:rFonts w:ascii="Times New Roman" w:hAnsi="Times New Roman"/>
          <w:smallCaps/>
          <w:color w:val="000000"/>
          <w:sz w:val="24"/>
        </w:rPr>
        <w:t>Schedule 7.20</w:t>
      </w:r>
      <w:r>
        <w:rPr>
          <w:rFonts w:ascii="Times New Roman" w:hAnsi="Times New Roman"/>
          <w:color w:val="000000"/>
          <w:sz w:val="20"/>
        </w:rPr>
        <w:t xml:space="preserve"> — </w:t>
      </w:r>
      <w:r>
        <w:rPr>
          <w:rFonts w:ascii="Times New Roman" w:hAnsi="Times New Roman"/>
          <w:color w:val="000000"/>
          <w:sz w:val="24"/>
        </w:rPr>
        <w:t>Capitalization</w:t>
      </w:r>
    </w:p>
    <w:p>
      <w:pPr>
        <w:pStyle w:val="TextBody"/>
        <w:bidi w:val="0"/>
        <w:jc w:val="left"/>
        <w:rPr>
          <w:rFonts w:ascii="Times New Roman" w:hAnsi="Times New Roman"/>
          <w:sz w:val="20"/>
        </w:rPr>
      </w:pPr>
      <w:r>
        <w:rPr>
          <w:rFonts w:ascii="Times New Roman" w:hAnsi="Times New Roman"/>
          <w:smallCaps/>
          <w:color w:val="000000"/>
          <w:sz w:val="24"/>
        </w:rPr>
        <w:t>Schedule 7.22</w:t>
      </w:r>
      <w:r>
        <w:rPr>
          <w:rFonts w:ascii="Times New Roman" w:hAnsi="Times New Roman"/>
          <w:color w:val="000000"/>
          <w:sz w:val="20"/>
        </w:rPr>
        <w:t xml:space="preserve"> — </w:t>
      </w:r>
      <w:r>
        <w:rPr>
          <w:rFonts w:ascii="Times New Roman" w:hAnsi="Times New Roman"/>
          <w:color w:val="000000"/>
          <w:sz w:val="24"/>
        </w:rPr>
        <w:t>Broker’s Fee</w:t>
      </w:r>
    </w:p>
    <w:p>
      <w:pPr>
        <w:pStyle w:val="TextBody"/>
        <w:bidi w:val="0"/>
        <w:jc w:val="left"/>
        <w:rPr>
          <w:rFonts w:ascii="Times New Roman" w:hAnsi="Times New Roman"/>
          <w:sz w:val="20"/>
        </w:rPr>
      </w:pPr>
      <w:r>
        <w:rPr>
          <w:rFonts w:ascii="Times New Roman" w:hAnsi="Times New Roman"/>
          <w:smallCaps/>
          <w:color w:val="000000"/>
          <w:sz w:val="24"/>
        </w:rPr>
        <w:t>Schedule 7.26</w:t>
      </w:r>
      <w:r>
        <w:rPr>
          <w:rFonts w:ascii="Times New Roman" w:hAnsi="Times New Roman"/>
          <w:color w:val="000000"/>
          <w:sz w:val="20"/>
        </w:rPr>
        <w:t xml:space="preserve"> — </w:t>
      </w:r>
      <w:r>
        <w:rPr>
          <w:rFonts w:ascii="Times New Roman" w:hAnsi="Times New Roman"/>
          <w:color w:val="000000"/>
          <w:sz w:val="24"/>
        </w:rPr>
        <w:t>Royalty and Other Payments</w:t>
      </w:r>
    </w:p>
    <w:p>
      <w:pPr>
        <w:pStyle w:val="TextBody"/>
        <w:bidi w:val="0"/>
        <w:jc w:val="left"/>
        <w:rPr>
          <w:rFonts w:ascii="Times New Roman" w:hAnsi="Times New Roman"/>
          <w:sz w:val="20"/>
        </w:rPr>
      </w:pPr>
      <w:r>
        <w:rPr>
          <w:rFonts w:ascii="Times New Roman" w:hAnsi="Times New Roman"/>
          <w:smallCaps/>
          <w:color w:val="000000"/>
          <w:sz w:val="24"/>
        </w:rPr>
        <w:t>Schedule 8.18</w:t>
      </w:r>
      <w:r>
        <w:rPr>
          <w:rFonts w:ascii="Times New Roman" w:hAnsi="Times New Roman"/>
          <w:color w:val="000000"/>
          <w:sz w:val="20"/>
        </w:rPr>
        <w:t xml:space="preserve"> — </w:t>
      </w:r>
      <w:r>
        <w:rPr>
          <w:rFonts w:ascii="Times New Roman" w:hAnsi="Times New Roman"/>
          <w:color w:val="000000"/>
          <w:sz w:val="24"/>
        </w:rPr>
        <w:t>Post-Closing Obligations</w:t>
      </w:r>
    </w:p>
    <w:p>
      <w:pPr>
        <w:pStyle w:val="TextBody"/>
        <w:bidi w:val="0"/>
        <w:jc w:val="left"/>
        <w:rPr>
          <w:rFonts w:ascii="Times New Roman" w:hAnsi="Times New Roman"/>
          <w:sz w:val="20"/>
        </w:rPr>
      </w:pPr>
      <w:r>
        <w:rPr>
          <w:rFonts w:ascii="Times New Roman" w:hAnsi="Times New Roman"/>
          <w:smallCaps/>
          <w:color w:val="000000"/>
          <w:sz w:val="24"/>
        </w:rPr>
        <w:t>Schedule 9.01(</w:t>
      </w:r>
      <w:r>
        <w:rPr>
          <w:rFonts w:ascii="Times New Roman" w:hAnsi="Times New Roman"/>
          <w:color w:val="000000"/>
          <w:sz w:val="24"/>
        </w:rPr>
        <w:t>a</w:t>
      </w:r>
      <w:r>
        <w:rPr>
          <w:rFonts w:ascii="Times New Roman" w:hAnsi="Times New Roman"/>
          <w:smallCaps/>
          <w:color w:val="000000"/>
          <w:sz w:val="24"/>
        </w:rPr>
        <w:t>)</w:t>
      </w:r>
      <w:r>
        <w:rPr>
          <w:rFonts w:ascii="Times New Roman" w:hAnsi="Times New Roman"/>
          <w:color w:val="000000"/>
          <w:sz w:val="20"/>
        </w:rPr>
        <w:t xml:space="preserve"> — </w:t>
      </w:r>
      <w:r>
        <w:rPr>
          <w:rFonts w:ascii="Times New Roman" w:hAnsi="Times New Roman"/>
          <w:color w:val="000000"/>
          <w:sz w:val="24"/>
        </w:rPr>
        <w:t>Permitted Indebtedness</w:t>
      </w:r>
    </w:p>
    <w:p>
      <w:pPr>
        <w:pStyle w:val="TextBody"/>
        <w:bidi w:val="0"/>
        <w:jc w:val="left"/>
        <w:rPr>
          <w:rFonts w:ascii="Times New Roman" w:hAnsi="Times New Roman"/>
          <w:sz w:val="20"/>
        </w:rPr>
      </w:pPr>
      <w:r>
        <w:rPr>
          <w:rFonts w:ascii="Times New Roman" w:hAnsi="Times New Roman"/>
          <w:smallCaps/>
          <w:color w:val="000000"/>
          <w:sz w:val="24"/>
        </w:rPr>
        <w:t>Schedule 9.02(</w:t>
      </w:r>
      <w:r>
        <w:rPr>
          <w:rFonts w:ascii="Times New Roman" w:hAnsi="Times New Roman"/>
          <w:color w:val="000000"/>
          <w:sz w:val="24"/>
        </w:rPr>
        <w:t>b</w:t>
      </w:r>
      <w:r>
        <w:rPr>
          <w:rFonts w:ascii="Times New Roman" w:hAnsi="Times New Roman"/>
          <w:smallCaps/>
          <w:color w:val="000000"/>
          <w:sz w:val="24"/>
        </w:rPr>
        <w:t>)</w:t>
      </w:r>
      <w:r>
        <w:rPr>
          <w:rFonts w:ascii="Times New Roman" w:hAnsi="Times New Roman"/>
          <w:color w:val="000000"/>
          <w:sz w:val="20"/>
        </w:rPr>
        <w:t xml:space="preserve"> — </w:t>
      </w:r>
      <w:r>
        <w:rPr>
          <w:rFonts w:ascii="Times New Roman" w:hAnsi="Times New Roman"/>
          <w:color w:val="000000"/>
          <w:sz w:val="24"/>
        </w:rPr>
        <w:t>Permitted Liens</w:t>
      </w:r>
    </w:p>
    <w:p>
      <w:pPr>
        <w:pStyle w:val="TextBody"/>
        <w:bidi w:val="0"/>
        <w:jc w:val="left"/>
        <w:rPr>
          <w:rFonts w:ascii="Times New Roman" w:hAnsi="Times New Roman"/>
          <w:sz w:val="20"/>
        </w:rPr>
      </w:pPr>
      <w:r>
        <w:rPr>
          <w:rFonts w:ascii="Times New Roman" w:hAnsi="Times New Roman"/>
          <w:smallCaps/>
          <w:color w:val="000000"/>
          <w:sz w:val="24"/>
        </w:rPr>
        <w:t>Schedule 9.05</w:t>
      </w:r>
      <w:r>
        <w:rPr>
          <w:rFonts w:ascii="Times New Roman" w:hAnsi="Times New Roman"/>
          <w:color w:val="000000"/>
          <w:sz w:val="20"/>
        </w:rPr>
        <w:t xml:space="preserve"> — </w:t>
      </w:r>
      <w:r>
        <w:rPr>
          <w:rFonts w:ascii="Times New Roman" w:hAnsi="Times New Roman"/>
          <w:color w:val="000000"/>
          <w:sz w:val="24"/>
        </w:rPr>
        <w:t>Existing Investments</w:t>
      </w:r>
    </w:p>
    <w:p>
      <w:pPr>
        <w:pStyle w:val="TextBody"/>
        <w:bidi w:val="0"/>
        <w:jc w:val="left"/>
        <w:rPr>
          <w:rFonts w:ascii="Times New Roman" w:hAnsi="Times New Roman"/>
          <w:sz w:val="20"/>
        </w:rPr>
      </w:pPr>
      <w:r>
        <w:rPr>
          <w:rFonts w:ascii="Times New Roman" w:hAnsi="Times New Roman"/>
          <w:smallCaps/>
          <w:color w:val="000000"/>
          <w:sz w:val="24"/>
        </w:rPr>
        <w:t>Schedule 9.10</w:t>
      </w:r>
      <w:r>
        <w:rPr>
          <w:rFonts w:ascii="Times New Roman" w:hAnsi="Times New Roman"/>
          <w:color w:val="000000"/>
          <w:sz w:val="20"/>
        </w:rPr>
        <w:t xml:space="preserve"> — </w:t>
      </w:r>
      <w:r>
        <w:rPr>
          <w:rFonts w:ascii="Times New Roman" w:hAnsi="Times New Roman"/>
          <w:color w:val="000000"/>
          <w:sz w:val="24"/>
        </w:rPr>
        <w:t>Transactions with Affiliates</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Exhibits:</w:t>
      </w:r>
    </w:p>
    <w:p>
      <w:pPr>
        <w:pStyle w:val="TextBody"/>
        <w:bidi w:val="0"/>
        <w:spacing w:before="200" w:after="283"/>
        <w:jc w:val="left"/>
        <w:rPr>
          <w:rFonts w:ascii="Times New Roman" w:hAnsi="Times New Roman"/>
          <w:sz w:val="20"/>
        </w:rPr>
      </w:pPr>
      <w:r>
        <w:rPr>
          <w:rFonts w:ascii="Times New Roman" w:hAnsi="Times New Roman"/>
          <w:smallCaps/>
          <w:color w:val="000000"/>
          <w:sz w:val="24"/>
        </w:rPr>
        <w:t>Exhibit A</w:t>
      </w:r>
      <w:r>
        <w:rPr>
          <w:rFonts w:ascii="Times New Roman" w:hAnsi="Times New Roman"/>
          <w:color w:val="000000"/>
          <w:sz w:val="20"/>
        </w:rPr>
        <w:t xml:space="preserve"> — </w:t>
      </w:r>
      <w:r>
        <w:rPr>
          <w:rFonts w:ascii="Times New Roman" w:hAnsi="Times New Roman"/>
          <w:color w:val="000000"/>
          <w:sz w:val="24"/>
        </w:rPr>
        <w:t>Form of Guarantee Assumption Agreement</w:t>
      </w:r>
    </w:p>
    <w:p>
      <w:pPr>
        <w:pStyle w:val="TextBody"/>
        <w:bidi w:val="0"/>
        <w:jc w:val="left"/>
        <w:rPr>
          <w:rFonts w:ascii="Times New Roman" w:hAnsi="Times New Roman"/>
          <w:sz w:val="20"/>
        </w:rPr>
      </w:pPr>
      <w:r>
        <w:rPr>
          <w:rFonts w:ascii="Times New Roman" w:hAnsi="Times New Roman"/>
          <w:smallCaps/>
          <w:color w:val="000000"/>
          <w:sz w:val="24"/>
        </w:rPr>
        <w:t>Exhibit B</w:t>
      </w:r>
      <w:r>
        <w:rPr>
          <w:rFonts w:ascii="Times New Roman" w:hAnsi="Times New Roman"/>
          <w:color w:val="000000"/>
          <w:sz w:val="20"/>
        </w:rPr>
        <w:t xml:space="preserve"> — </w:t>
      </w:r>
      <w:r>
        <w:rPr>
          <w:rFonts w:ascii="Times New Roman" w:hAnsi="Times New Roman"/>
          <w:color w:val="000000"/>
          <w:sz w:val="24"/>
        </w:rPr>
        <w:t>Form of Borrowing Notice</w:t>
      </w:r>
    </w:p>
    <w:p>
      <w:pPr>
        <w:pStyle w:val="TextBody"/>
        <w:bidi w:val="0"/>
        <w:jc w:val="left"/>
        <w:rPr>
          <w:rFonts w:ascii="Times New Roman" w:hAnsi="Times New Roman"/>
          <w:sz w:val="20"/>
        </w:rPr>
      </w:pPr>
      <w:r>
        <w:rPr>
          <w:rFonts w:ascii="Times New Roman" w:hAnsi="Times New Roman"/>
          <w:smallCaps/>
          <w:color w:val="000000"/>
          <w:sz w:val="24"/>
        </w:rPr>
        <w:t>Exhibit C</w:t>
      </w:r>
      <w:r>
        <w:rPr>
          <w:rFonts w:ascii="Times New Roman" w:hAnsi="Times New Roman"/>
          <w:color w:val="000000"/>
          <w:sz w:val="20"/>
        </w:rPr>
        <w:t xml:space="preserve"> — </w:t>
      </w:r>
      <w:r>
        <w:rPr>
          <w:rFonts w:ascii="Times New Roman" w:hAnsi="Times New Roman"/>
          <w:color w:val="000000"/>
          <w:sz w:val="24"/>
        </w:rPr>
        <w:t>Form of Note</w:t>
      </w:r>
    </w:p>
    <w:p>
      <w:pPr>
        <w:pStyle w:val="TextBody"/>
        <w:bidi w:val="0"/>
        <w:jc w:val="left"/>
        <w:rPr>
          <w:rFonts w:ascii="Times New Roman" w:hAnsi="Times New Roman"/>
          <w:sz w:val="20"/>
        </w:rPr>
      </w:pPr>
      <w:r>
        <w:rPr>
          <w:rFonts w:ascii="Times New Roman" w:hAnsi="Times New Roman"/>
          <w:smallCaps/>
          <w:color w:val="000000"/>
          <w:sz w:val="24"/>
        </w:rPr>
        <w:t>Exhibit D</w:t>
      </w:r>
      <w:r>
        <w:rPr>
          <w:rFonts w:ascii="Times New Roman" w:hAnsi="Times New Roman"/>
          <w:color w:val="000000"/>
          <w:sz w:val="20"/>
        </w:rPr>
        <w:t xml:space="preserve"> — </w:t>
      </w:r>
      <w:r>
        <w:rPr>
          <w:rFonts w:ascii="Times New Roman" w:hAnsi="Times New Roman"/>
          <w:color w:val="000000"/>
          <w:sz w:val="24"/>
        </w:rPr>
        <w:t>Form of U.S. Tax Compliance Certificate</w:t>
      </w:r>
    </w:p>
    <w:p>
      <w:pPr>
        <w:pStyle w:val="TextBody"/>
        <w:bidi w:val="0"/>
        <w:jc w:val="left"/>
        <w:rPr>
          <w:rFonts w:ascii="Times New Roman" w:hAnsi="Times New Roman"/>
          <w:sz w:val="20"/>
        </w:rPr>
      </w:pPr>
      <w:r>
        <w:rPr>
          <w:rFonts w:ascii="Times New Roman" w:hAnsi="Times New Roman"/>
          <w:smallCaps/>
          <w:color w:val="000000"/>
          <w:sz w:val="24"/>
        </w:rPr>
        <w:t>Exhibit E</w:t>
      </w:r>
      <w:r>
        <w:rPr>
          <w:rFonts w:ascii="Times New Roman" w:hAnsi="Times New Roman"/>
          <w:color w:val="000000"/>
          <w:sz w:val="20"/>
        </w:rPr>
        <w:t xml:space="preserve"> — </w:t>
      </w:r>
      <w:r>
        <w:rPr>
          <w:rFonts w:ascii="Times New Roman" w:hAnsi="Times New Roman"/>
          <w:color w:val="000000"/>
          <w:sz w:val="24"/>
        </w:rPr>
        <w:t>Form of Compliance Certificate</w:t>
      </w:r>
    </w:p>
    <w:p>
      <w:pPr>
        <w:pStyle w:val="TextBody"/>
        <w:bidi w:val="0"/>
        <w:jc w:val="left"/>
        <w:rPr>
          <w:rFonts w:ascii="Times New Roman" w:hAnsi="Times New Roman"/>
          <w:sz w:val="20"/>
        </w:rPr>
      </w:pPr>
      <w:r>
        <w:rPr>
          <w:rFonts w:ascii="Times New Roman" w:hAnsi="Times New Roman"/>
          <w:smallCaps/>
          <w:color w:val="000000"/>
          <w:sz w:val="24"/>
        </w:rPr>
        <w:t>Exhibit F</w:t>
      </w:r>
      <w:r>
        <w:rPr>
          <w:rFonts w:ascii="Times New Roman" w:hAnsi="Times New Roman"/>
          <w:color w:val="000000"/>
          <w:sz w:val="20"/>
        </w:rPr>
        <w:t xml:space="preserve"> — </w:t>
      </w:r>
      <w:r>
        <w:rPr>
          <w:rFonts w:ascii="Times New Roman" w:hAnsi="Times New Roman"/>
          <w:color w:val="000000"/>
          <w:sz w:val="24"/>
        </w:rPr>
        <w:t>Form of Assignment Agreement</w:t>
      </w:r>
    </w:p>
    <w:p>
      <w:pPr>
        <w:pStyle w:val="TextBody"/>
        <w:bidi w:val="0"/>
        <w:jc w:val="left"/>
        <w:rPr>
          <w:rFonts w:ascii="Times New Roman" w:hAnsi="Times New Roman"/>
          <w:sz w:val="20"/>
        </w:rPr>
      </w:pPr>
      <w:r>
        <w:rPr>
          <w:rFonts w:ascii="Times New Roman" w:hAnsi="Times New Roman"/>
          <w:smallCaps/>
          <w:color w:val="000000"/>
          <w:sz w:val="24"/>
        </w:rPr>
        <w:t>Exhibit G</w:t>
      </w:r>
      <w:r>
        <w:rPr>
          <w:rFonts w:ascii="Times New Roman" w:hAnsi="Times New Roman"/>
          <w:color w:val="000000"/>
          <w:sz w:val="20"/>
        </w:rPr>
        <w:t xml:space="preserve"> — </w:t>
      </w:r>
      <w:r>
        <w:rPr>
          <w:rFonts w:ascii="Times New Roman" w:hAnsi="Times New Roman"/>
          <w:color w:val="000000"/>
          <w:sz w:val="24"/>
        </w:rPr>
        <w:t>Form of Security Agreement</w:t>
      </w:r>
    </w:p>
    <w:p>
      <w:pPr>
        <w:pStyle w:val="TextBody"/>
        <w:bidi w:val="0"/>
        <w:jc w:val="left"/>
        <w:rPr>
          <w:rFonts w:ascii="Times New Roman" w:hAnsi="Times New Roman"/>
          <w:sz w:val="20"/>
        </w:rPr>
      </w:pPr>
      <w:r>
        <w:rPr>
          <w:rFonts w:ascii="Times New Roman" w:hAnsi="Times New Roman"/>
          <w:smallCaps/>
          <w:color w:val="000000"/>
          <w:sz w:val="24"/>
        </w:rPr>
        <w:t>Exhibit H-1</w:t>
      </w:r>
      <w:r>
        <w:rPr>
          <w:rFonts w:ascii="Times New Roman" w:hAnsi="Times New Roman"/>
          <w:color w:val="000000"/>
          <w:sz w:val="20"/>
        </w:rPr>
        <w:t xml:space="preserve"> — </w:t>
      </w:r>
      <w:r>
        <w:rPr>
          <w:rFonts w:ascii="Times New Roman" w:hAnsi="Times New Roman"/>
          <w:color w:val="000000"/>
          <w:sz w:val="24"/>
        </w:rPr>
        <w:t>Form of Patent &amp; Trademark Security Agreement</w:t>
      </w:r>
    </w:p>
    <w:p>
      <w:pPr>
        <w:pStyle w:val="TextBody"/>
        <w:bidi w:val="0"/>
        <w:jc w:val="left"/>
        <w:rPr>
          <w:rFonts w:ascii="Times New Roman" w:hAnsi="Times New Roman"/>
          <w:sz w:val="20"/>
        </w:rPr>
      </w:pPr>
      <w:r>
        <w:rPr>
          <w:rFonts w:ascii="Times New Roman" w:hAnsi="Times New Roman"/>
          <w:smallCaps/>
          <w:color w:val="000000"/>
          <w:sz w:val="24"/>
        </w:rPr>
        <w:t>Exhibit H-2</w:t>
      </w:r>
      <w:r>
        <w:rPr>
          <w:rFonts w:ascii="Times New Roman" w:hAnsi="Times New Roman"/>
          <w:color w:val="000000"/>
          <w:sz w:val="20"/>
        </w:rPr>
        <w:t xml:space="preserve"> — </w:t>
      </w:r>
      <w:r>
        <w:rPr>
          <w:rFonts w:ascii="Times New Roman" w:hAnsi="Times New Roman"/>
          <w:color w:val="000000"/>
          <w:sz w:val="24"/>
        </w:rPr>
        <w:t>Form of Copyright Security Agreement</w:t>
      </w:r>
    </w:p>
    <w:p>
      <w:pPr>
        <w:pStyle w:val="TextBody"/>
        <w:bidi w:val="0"/>
        <w:jc w:val="left"/>
        <w:rPr>
          <w:rFonts w:ascii="Times New Roman" w:hAnsi="Times New Roman"/>
          <w:sz w:val="20"/>
        </w:rPr>
      </w:pPr>
      <w:r>
        <w:rPr>
          <w:rFonts w:ascii="Times New Roman" w:hAnsi="Times New Roman"/>
          <w:smallCaps/>
          <w:color w:val="000000"/>
          <w:sz w:val="24"/>
        </w:rPr>
        <w:t>Exhibit I</w:t>
      </w:r>
      <w:r>
        <w:rPr>
          <w:rFonts w:ascii="Times New Roman" w:hAnsi="Times New Roman"/>
          <w:color w:val="000000"/>
          <w:sz w:val="20"/>
        </w:rPr>
        <w:t xml:space="preserve"> — </w:t>
      </w:r>
      <w:r>
        <w:rPr>
          <w:rFonts w:ascii="Times New Roman" w:hAnsi="Times New Roman"/>
          <w:color w:val="000000"/>
          <w:sz w:val="24"/>
        </w:rPr>
        <w:t>Form of Collateral Questionnaire</w:t>
      </w:r>
    </w:p>
    <w:p>
      <w:pPr>
        <w:pStyle w:val="TextBody"/>
        <w:bidi w:val="0"/>
        <w:jc w:val="left"/>
        <w:rPr>
          <w:rFonts w:ascii="Times New Roman" w:hAnsi="Times New Roman"/>
          <w:sz w:val="20"/>
        </w:rPr>
      </w:pPr>
      <w:r>
        <w:rPr>
          <w:rFonts w:ascii="Times New Roman" w:hAnsi="Times New Roman"/>
          <w:smallCaps/>
          <w:color w:val="000000"/>
          <w:sz w:val="24"/>
        </w:rPr>
        <w:t>Exhibit J</w:t>
      </w:r>
      <w:r>
        <w:rPr>
          <w:rFonts w:ascii="Times New Roman" w:hAnsi="Times New Roman"/>
          <w:color w:val="000000"/>
          <w:sz w:val="20"/>
        </w:rPr>
        <w:t xml:space="preserve"> — </w:t>
      </w:r>
      <w:r>
        <w:rPr>
          <w:rFonts w:ascii="Times New Roman" w:hAnsi="Times New Roman"/>
          <w:color w:val="000000"/>
          <w:sz w:val="24"/>
        </w:rPr>
        <w:t>Form of Warrant Certificate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jc w:val="both"/>
        <w:rPr>
          <w:rFonts w:ascii="Times New Roman" w:hAnsi="Times New Roman"/>
          <w:sz w:val="20"/>
        </w:rPr>
      </w:pPr>
      <w:r>
        <w:rPr>
          <w:rFonts w:ascii="Times New Roman" w:hAnsi="Times New Roman"/>
          <w:smallCaps/>
          <w:color w:val="000000"/>
          <w:sz w:val="24"/>
        </w:rPr>
        <w:t>Credit Agreement And Guaranty,</w:t>
      </w:r>
      <w:r>
        <w:rPr>
          <w:rFonts w:ascii="Times New Roman" w:hAnsi="Times New Roman"/>
          <w:color w:val="000000"/>
          <w:sz w:val="20"/>
        </w:rPr>
        <w:t xml:space="preserve"> </w:t>
      </w:r>
      <w:r>
        <w:rPr>
          <w:rFonts w:ascii="Times New Roman" w:hAnsi="Times New Roman"/>
          <w:color w:val="000000"/>
          <w:sz w:val="24"/>
        </w:rPr>
        <w:t xml:space="preserve">dated as of January 13, 2026 (this </w:t>
      </w:r>
      <w:r>
        <w:rPr>
          <w:rFonts w:ascii="Times New Roman" w:hAnsi="Times New Roman"/>
          <w:color w:val="000000"/>
          <w:sz w:val="20"/>
        </w:rPr>
        <w:t>“</w:t>
      </w:r>
      <w:r>
        <w:rPr>
          <w:rFonts w:ascii="Times New Roman" w:hAnsi="Times New Roman"/>
          <w:i/>
          <w:color w:val="000000"/>
          <w:sz w:val="24"/>
        </w:rPr>
        <w:t>Agreement”</w:t>
      </w:r>
      <w:r>
        <w:rPr>
          <w:rFonts w:ascii="Times New Roman" w:hAnsi="Times New Roman"/>
          <w:color w:val="000000"/>
          <w:sz w:val="24"/>
        </w:rPr>
        <w:t xml:space="preserve">), among </w:t>
      </w:r>
      <w:r>
        <w:rPr>
          <w:rFonts w:ascii="Times New Roman" w:hAnsi="Times New Roman"/>
          <w:smallCaps/>
          <w:color w:val="000000"/>
          <w:sz w:val="24"/>
        </w:rPr>
        <w:t xml:space="preserve">AVITA Medical, Inc., </w:t>
      </w:r>
      <w:r>
        <w:rPr>
          <w:rFonts w:ascii="Times New Roman" w:hAnsi="Times New Roman"/>
          <w:color w:val="000000"/>
          <w:sz w:val="24"/>
        </w:rPr>
        <w:t>a Delaware corporation</w:t>
      </w:r>
      <w:r>
        <w:rPr>
          <w:rFonts w:ascii="Times New Roman" w:hAnsi="Times New Roman"/>
          <w:smallCaps/>
          <w:color w:val="000000"/>
          <w:sz w:val="24"/>
        </w:rPr>
        <w:t>,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i/>
          <w:color w:val="000000"/>
          <w:sz w:val="24"/>
        </w:rPr>
        <w:t>Borrower”</w:t>
      </w:r>
      <w:r>
        <w:rPr>
          <w:rFonts w:ascii="Times New Roman" w:hAnsi="Times New Roman"/>
          <w:color w:val="000000"/>
          <w:sz w:val="24"/>
        </w:rPr>
        <w:t xml:space="preserve">), certain Guarantors from time to time parties hereto, the lenders from time to time party hereto (each, as a </w:t>
      </w:r>
      <w:r>
        <w:rPr>
          <w:rFonts w:ascii="Times New Roman" w:hAnsi="Times New Roman"/>
          <w:color w:val="000000"/>
          <w:sz w:val="20"/>
        </w:rPr>
        <w:t>“</w:t>
      </w:r>
      <w:r>
        <w:rPr>
          <w:rFonts w:ascii="Times New Roman" w:hAnsi="Times New Roman"/>
          <w:i/>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and collectively, the </w:t>
      </w:r>
      <w:r>
        <w:rPr>
          <w:rFonts w:ascii="Times New Roman" w:hAnsi="Times New Roman"/>
          <w:color w:val="000000"/>
          <w:sz w:val="20"/>
        </w:rPr>
        <w:t>“</w:t>
      </w:r>
      <w:r>
        <w:rPr>
          <w:rFonts w:ascii="Times New Roman" w:hAnsi="Times New Roman"/>
          <w:i/>
          <w:color w:val="000000"/>
          <w:sz w:val="24"/>
        </w:rPr>
        <w:t>Lenders”</w:t>
      </w:r>
      <w:r>
        <w:rPr>
          <w:rFonts w:ascii="Times New Roman" w:hAnsi="Times New Roman"/>
          <w:color w:val="000000"/>
          <w:sz w:val="24"/>
        </w:rPr>
        <w:t xml:space="preserve">) and </w:t>
      </w:r>
      <w:r>
        <w:rPr>
          <w:rFonts w:ascii="Times New Roman" w:hAnsi="Times New Roman"/>
          <w:smallCaps/>
          <w:color w:val="000000"/>
          <w:sz w:val="24"/>
        </w:rPr>
        <w:t>Perceptive Credit Holdings V, LP,</w:t>
      </w:r>
      <w:r>
        <w:rPr>
          <w:rFonts w:ascii="Times New Roman" w:hAnsi="Times New Roman"/>
          <w:color w:val="000000"/>
          <w:sz w:val="20"/>
        </w:rPr>
        <w:t xml:space="preserve"> </w:t>
      </w:r>
      <w:r>
        <w:rPr>
          <w:rFonts w:ascii="Times New Roman" w:hAnsi="Times New Roman"/>
          <w:color w:val="000000"/>
          <w:sz w:val="24"/>
        </w:rPr>
        <w:t>a Delaware limited partnership (</w:t>
      </w:r>
      <w:r>
        <w:rPr>
          <w:rFonts w:ascii="Times New Roman" w:hAnsi="Times New Roman"/>
          <w:color w:val="000000"/>
          <w:sz w:val="20"/>
        </w:rPr>
        <w:t>“</w:t>
      </w:r>
      <w:r>
        <w:rPr>
          <w:rFonts w:ascii="Times New Roman" w:hAnsi="Times New Roman"/>
          <w:i/>
          <w:color w:val="000000"/>
          <w:sz w:val="24"/>
        </w:rPr>
        <w:t>Perceptive”</w:t>
      </w:r>
      <w:r>
        <w:rPr>
          <w:rFonts w:ascii="Times New Roman" w:hAnsi="Times New Roman"/>
          <w:color w:val="000000"/>
          <w:sz w:val="24"/>
        </w:rPr>
        <w:t xml:space="preserve">), as a Lender and as administrative agent for the Lenders (in such capacity, together with its successors and assigns, the </w:t>
      </w:r>
      <w:r>
        <w:rPr>
          <w:rFonts w:ascii="Times New Roman" w:hAnsi="Times New Roman"/>
          <w:color w:val="000000"/>
          <w:sz w:val="20"/>
        </w:rPr>
        <w:t>“</w:t>
      </w:r>
      <w:r>
        <w:rPr>
          <w:rFonts w:ascii="Times New Roman" w:hAnsi="Times New Roman"/>
          <w:i/>
          <w:color w:val="000000"/>
          <w:sz w:val="24"/>
        </w:rPr>
        <w:t>Administrative Agent”</w:t>
      </w:r>
      <w:r>
        <w:rPr>
          <w:rFonts w:ascii="Times New Roman" w:hAnsi="Times New Roman"/>
          <w:color w:val="000000"/>
          <w:sz w:val="24"/>
        </w:rPr>
        <w:t>).</w:t>
      </w:r>
    </w:p>
    <w:p>
      <w:pPr>
        <w:pStyle w:val="TextBody"/>
        <w:bidi w:val="0"/>
        <w:spacing w:before="240" w:after="283"/>
        <w:jc w:val="center"/>
        <w:rPr>
          <w:rFonts w:ascii="Times New Roman" w:hAnsi="Times New Roman"/>
          <w:b/>
          <w:smallCaps/>
          <w:color w:val="000000"/>
          <w:sz w:val="24"/>
        </w:rPr>
      </w:pPr>
      <w:r>
        <w:rPr>
          <w:rFonts w:ascii="Times New Roman" w:hAnsi="Times New Roman"/>
          <w:b/>
          <w:smallCaps/>
          <w:color w:val="000000"/>
          <w:sz w:val="24"/>
        </w:rPr>
        <w:t>Witnesseth: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Borrower has requested that the Lenders make certain term loans to the Borrower, and the Lenders are prepared to make such loans on and subject to the terms and conditions hereof. Accordingly, the parties agree as follows:</w:t>
      </w:r>
    </w:p>
    <w:p>
      <w:pPr>
        <w:pStyle w:val="TextBody"/>
        <w:bidi w:val="0"/>
        <w:spacing w:before="240" w:after="283"/>
        <w:jc w:val="center"/>
        <w:rPr>
          <w:rFonts w:ascii="Times New Roman" w:hAnsi="Times New Roman"/>
          <w:b/>
          <w:smallCaps/>
          <w:color w:val="000000"/>
          <w:sz w:val="24"/>
        </w:rPr>
      </w:pPr>
      <w:r>
        <w:rPr>
          <w:rFonts w:ascii="Times New Roman" w:hAnsi="Times New Roman"/>
          <w:b/>
          <w:smallCaps/>
          <w:color w:val="000000"/>
          <w:sz w:val="24"/>
        </w:rPr>
        <w:t>Article I</w:t>
        <w:br/>
        <w:br/>
        <w:t>Definitions</w:t>
      </w:r>
    </w:p>
    <w:p>
      <w:pPr>
        <w:pStyle w:val="TextBody"/>
        <w:bidi w:val="0"/>
        <w:spacing w:before="120" w:after="283"/>
        <w:jc w:val="both"/>
        <w:rPr>
          <w:rFonts w:ascii="Times New Roman" w:hAnsi="Times New Roman"/>
          <w:sz w:val="20"/>
        </w:rPr>
      </w:pPr>
      <w:r>
        <w:rPr>
          <w:rFonts w:ascii="Times New Roman" w:hAnsi="Times New Roman"/>
          <w:i/>
          <w:color w:val="000000"/>
          <w:sz w:val="24"/>
        </w:rPr>
        <w:t>Section 1.01.</w:t>
      </w:r>
      <w:r>
        <w:rPr>
          <w:rFonts w:ascii="Times New Roman" w:hAnsi="Times New Roman"/>
          <w:color w:val="000000"/>
          <w:sz w:val="20"/>
        </w:rPr>
        <w:t xml:space="preserve"> </w:t>
      </w:r>
      <w:r>
        <w:rPr>
          <w:rFonts w:ascii="Times New Roman" w:hAnsi="Times New Roman"/>
          <w:i/>
          <w:color w:val="000000"/>
          <w:sz w:val="24"/>
        </w:rPr>
        <w:t>Certain Defined Terms</w:t>
      </w:r>
      <w:r>
        <w:rPr>
          <w:rFonts w:ascii="Times New Roman" w:hAnsi="Times New Roman"/>
          <w:color w:val="000000"/>
          <w:sz w:val="24"/>
        </w:rPr>
        <w:t>. As used herein, the following terms have the following respective meanings:</w:t>
      </w:r>
    </w:p>
    <w:p>
      <w:pPr>
        <w:pStyle w:val="TextBody"/>
        <w:bidi w:val="0"/>
        <w:spacing w:before="280" w:after="283"/>
        <w:jc w:val="both"/>
        <w:rPr/>
      </w:pPr>
      <w:r>
        <w:rPr>
          <w:color w:val="000000"/>
        </w:rPr>
        <w:t>“</w:t>
      </w:r>
      <w:r>
        <w:rPr>
          <w:rFonts w:ascii="Times New Roman" w:hAnsi="Times New Roman"/>
          <w:i/>
          <w:color w:val="000000"/>
          <w:sz w:val="24"/>
        </w:rPr>
        <w:t xml:space="preserve">510(k)” </w:t>
      </w:r>
      <w:r>
        <w:rPr>
          <w:rFonts w:ascii="Times New Roman" w:hAnsi="Times New Roman"/>
          <w:color w:val="000000"/>
          <w:sz w:val="24"/>
        </w:rPr>
        <w:t>means (a) any premarket notification and corresponding FDA clearance for a Device pursuant to FDA regulations, (b) any corresponding or substantially equivalent notification, application or clearance of a non-U.S. Regulatory Authority, and (c) all amendments, supplements and other additions and modifications thereto, and all documents, data and other information concerning any applicable Device which are necessary for, filed with, incorporated by reference in, or otherwise supportive of any of the foregoing.</w:t>
      </w:r>
    </w:p>
    <w:p>
      <w:pPr>
        <w:pStyle w:val="TextBody"/>
        <w:bidi w:val="0"/>
        <w:spacing w:before="280" w:after="283"/>
        <w:jc w:val="both"/>
        <w:rPr/>
      </w:pPr>
      <w:r>
        <w:rPr>
          <w:color w:val="000000"/>
        </w:rPr>
        <w:t>“</w:t>
      </w:r>
      <w:r>
        <w:rPr>
          <w:rFonts w:ascii="Times New Roman" w:hAnsi="Times New Roman"/>
          <w:i/>
          <w:color w:val="000000"/>
          <w:sz w:val="24"/>
        </w:rPr>
        <w:t>Accounting Change”</w:t>
      </w:r>
      <w:r>
        <w:rPr>
          <w:rFonts w:ascii="Times New Roman" w:hAnsi="Times New Roman"/>
          <w:color w:val="000000"/>
          <w:sz w:val="20"/>
        </w:rPr>
        <w:t xml:space="preserve"> </w:t>
      </w:r>
      <w:r>
        <w:rPr>
          <w:rFonts w:ascii="Times New Roman" w:hAnsi="Times New Roman"/>
          <w:color w:val="000000"/>
          <w:sz w:val="24"/>
        </w:rPr>
        <w:t>has the meaning set forth in Section 1.02.</w:t>
      </w:r>
    </w:p>
    <w:p>
      <w:pPr>
        <w:pStyle w:val="TextBody"/>
        <w:bidi w:val="0"/>
        <w:spacing w:before="280" w:after="283"/>
        <w:jc w:val="both"/>
        <w:rPr/>
      </w:pPr>
      <w:r>
        <w:rPr>
          <w:color w:val="000000"/>
        </w:rPr>
        <w:t>“</w:t>
      </w:r>
      <w:r>
        <w:rPr>
          <w:rFonts w:ascii="Times New Roman" w:hAnsi="Times New Roman"/>
          <w:i/>
          <w:color w:val="000000"/>
          <w:sz w:val="24"/>
        </w:rPr>
        <w:t>Accounting Change Notice”</w:t>
      </w:r>
      <w:r>
        <w:rPr>
          <w:rFonts w:ascii="Times New Roman" w:hAnsi="Times New Roman"/>
          <w:color w:val="000000"/>
          <w:sz w:val="20"/>
        </w:rPr>
        <w:t xml:space="preserve"> </w:t>
      </w:r>
      <w:r>
        <w:rPr>
          <w:rFonts w:ascii="Times New Roman" w:hAnsi="Times New Roman"/>
          <w:color w:val="000000"/>
          <w:sz w:val="24"/>
        </w:rPr>
        <w:t>has the meaning set forth in Section 1.02.</w:t>
      </w:r>
    </w:p>
    <w:p>
      <w:pPr>
        <w:pStyle w:val="TextBody"/>
        <w:bidi w:val="0"/>
        <w:spacing w:before="280" w:after="283"/>
        <w:jc w:val="both"/>
        <w:rPr/>
      </w:pPr>
      <w:r>
        <w:rPr>
          <w:color w:val="000000"/>
        </w:rPr>
        <w:t>“</w:t>
      </w:r>
      <w:r>
        <w:rPr>
          <w:rFonts w:ascii="Times New Roman" w:hAnsi="Times New Roman"/>
          <w:i/>
          <w:color w:val="000000"/>
          <w:sz w:val="24"/>
        </w:rPr>
        <w:t>Acquisition”</w:t>
      </w:r>
      <w:r>
        <w:rPr>
          <w:rFonts w:ascii="Times New Roman" w:hAnsi="Times New Roman"/>
          <w:color w:val="000000"/>
          <w:sz w:val="20"/>
        </w:rPr>
        <w:t xml:space="preserve"> </w:t>
      </w:r>
      <w:r>
        <w:rPr>
          <w:rFonts w:ascii="Times New Roman" w:hAnsi="Times New Roman"/>
          <w:color w:val="000000"/>
          <w:sz w:val="24"/>
        </w:rPr>
        <w:t>means any transaction, or any series of related transactions, by which any Person directly or indirectly, by means of a take-over bid, tender offer, amalgamation, merger, purchase of assets, or similar transaction having the same effect as any of the foregoing, (a) acquires all or substantially all of the assets of any Person engaged in any business, (b) acquires all or substantially all of a business line or unit or division of any other Person, (c) acquires Control of securities of a Person engaged in a business representing more than 50% of the ordinary voting power for the election of directors or other governing body if the business affairs of such Person are managed by a Board or other governing body, or (d) acquires Control of more than 50% of the ownership interest in any Person engaged in any business that is not managed by a Board or other governing body.</w:t>
      </w:r>
    </w:p>
    <w:p>
      <w:pPr>
        <w:pStyle w:val="TextBody"/>
        <w:bidi w:val="0"/>
        <w:spacing w:before="200" w:after="283"/>
        <w:jc w:val="both"/>
        <w:rPr/>
      </w:pPr>
      <w:r>
        <w:rPr>
          <w:color w:val="000000"/>
        </w:rPr>
        <w:t>“</w:t>
      </w:r>
      <w:r>
        <w:rPr>
          <w:rFonts w:ascii="Times New Roman" w:hAnsi="Times New Roman"/>
          <w:i/>
          <w:color w:val="000000"/>
          <w:sz w:val="24"/>
        </w:rPr>
        <w:t>Act”</w:t>
      </w:r>
      <w:r>
        <w:rPr>
          <w:rFonts w:ascii="Times New Roman" w:hAnsi="Times New Roman"/>
          <w:color w:val="000000"/>
          <w:sz w:val="20"/>
        </w:rPr>
        <w:t xml:space="preserve"> </w:t>
      </w:r>
      <w:r>
        <w:rPr>
          <w:rFonts w:ascii="Times New Roman" w:hAnsi="Times New Roman"/>
          <w:color w:val="000000"/>
          <w:sz w:val="24"/>
        </w:rPr>
        <w:t>has the meaning set forth in Section 13.16.</w:t>
      </w:r>
    </w:p>
    <w:p>
      <w:pPr>
        <w:pStyle w:val="TextBody"/>
        <w:bidi w:val="0"/>
        <w:spacing w:before="200" w:after="283"/>
        <w:jc w:val="both"/>
        <w:rPr/>
      </w:pPr>
      <w:r>
        <w:rPr>
          <w:color w:val="000000"/>
        </w:rPr>
        <w:t>“</w:t>
      </w:r>
      <w:r>
        <w:rPr>
          <w:rFonts w:ascii="Times New Roman" w:hAnsi="Times New Roman"/>
          <w:i/>
          <w:color w:val="000000"/>
          <w:sz w:val="24"/>
        </w:rPr>
        <w:t>Administrative Agent”</w:t>
      </w:r>
      <w:r>
        <w:rPr>
          <w:rFonts w:ascii="Times New Roman" w:hAnsi="Times New Roman"/>
          <w:color w:val="000000"/>
          <w:sz w:val="20"/>
        </w:rPr>
        <w:t xml:space="preserve"> </w:t>
      </w:r>
      <w:r>
        <w:rPr>
          <w:rFonts w:ascii="Times New Roman" w:hAnsi="Times New Roman"/>
          <w:color w:val="000000"/>
          <w:sz w:val="24"/>
        </w:rPr>
        <w:t>has the meaning set forth in the introduction hereto.</w:t>
      </w:r>
    </w:p>
    <w:p>
      <w:pPr>
        <w:pStyle w:val="TextBody"/>
        <w:bidi w:val="0"/>
        <w:spacing w:before="200" w:after="283"/>
        <w:jc w:val="both"/>
        <w:rPr/>
      </w:pPr>
      <w:r>
        <w:rPr>
          <w:color w:val="000000"/>
        </w:rPr>
        <w:t>“</w:t>
      </w:r>
      <w:r>
        <w:rPr>
          <w:rFonts w:ascii="Times New Roman" w:hAnsi="Times New Roman"/>
          <w:i/>
          <w:color w:val="000000"/>
          <w:sz w:val="24"/>
        </w:rPr>
        <w:t>Affiliate”</w:t>
      </w:r>
      <w:r>
        <w:rPr>
          <w:rFonts w:ascii="Times New Roman" w:hAnsi="Times New Roman"/>
          <w:color w:val="000000"/>
          <w:sz w:val="20"/>
        </w:rPr>
        <w:t xml:space="preserve"> </w:t>
      </w:r>
      <w:r>
        <w:rPr>
          <w:rFonts w:ascii="Times New Roman" w:hAnsi="Times New Roman"/>
          <w:color w:val="000000"/>
          <w:sz w:val="24"/>
        </w:rPr>
        <w:t>means, with respect to a specified Person, another Person that directly, or indirectly through one or more intermediaries, Controls or is Controlled by or is under common Control with the Person specified.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pPr>
      <w:r>
        <w:rPr>
          <w:color w:val="000000"/>
        </w:rPr>
        <w:t>“</w:t>
      </w:r>
      <w:r>
        <w:rPr>
          <w:rFonts w:ascii="Times New Roman" w:hAnsi="Times New Roman"/>
          <w:i/>
          <w:color w:val="000000"/>
          <w:sz w:val="24"/>
        </w:rPr>
        <w:t>Agreement”</w:t>
      </w:r>
      <w:r>
        <w:rPr>
          <w:rFonts w:ascii="Times New Roman" w:hAnsi="Times New Roman"/>
          <w:color w:val="000000"/>
          <w:sz w:val="20"/>
        </w:rPr>
        <w:t xml:space="preserve"> </w:t>
      </w:r>
      <w:r>
        <w:rPr>
          <w:rFonts w:ascii="Times New Roman" w:hAnsi="Times New Roman"/>
          <w:color w:val="000000"/>
          <w:sz w:val="24"/>
        </w:rPr>
        <w:t>has the meaning set forth in the introduction hereto.</w:t>
      </w:r>
    </w:p>
    <w:p>
      <w:pPr>
        <w:pStyle w:val="TextBody"/>
        <w:bidi w:val="0"/>
        <w:spacing w:before="200" w:after="283"/>
        <w:jc w:val="both"/>
        <w:rPr/>
      </w:pPr>
      <w:r>
        <w:rPr>
          <w:color w:val="000000"/>
        </w:rPr>
        <w:t>“</w:t>
      </w:r>
      <w:r>
        <w:rPr>
          <w:rFonts w:ascii="Times New Roman" w:hAnsi="Times New Roman"/>
          <w:i/>
          <w:color w:val="000000"/>
          <w:sz w:val="24"/>
        </w:rPr>
        <w:t>Anti-Corruption Laws”</w:t>
      </w:r>
      <w:r>
        <w:rPr>
          <w:rFonts w:ascii="Times New Roman" w:hAnsi="Times New Roman"/>
          <w:color w:val="000000"/>
          <w:sz w:val="20"/>
        </w:rPr>
        <w:t xml:space="preserve"> </w:t>
      </w:r>
      <w:r>
        <w:rPr>
          <w:rFonts w:ascii="Times New Roman" w:hAnsi="Times New Roman"/>
          <w:color w:val="000000"/>
          <w:sz w:val="24"/>
        </w:rPr>
        <w:t>means all laws, rules and regulations of any jurisdiction applicable to the Obligors and their Affiliates concerning or relating to bribery or corruption, including, without limitation, the Foreign Corrupt Practices Act of 1977, as amended.</w:t>
      </w:r>
    </w:p>
    <w:p>
      <w:pPr>
        <w:pStyle w:val="TextBody"/>
        <w:bidi w:val="0"/>
        <w:spacing w:before="200" w:after="283"/>
        <w:jc w:val="both"/>
        <w:rPr/>
      </w:pPr>
      <w:r>
        <w:rPr>
          <w:color w:val="000000"/>
        </w:rPr>
        <w:t>“</w:t>
      </w:r>
      <w:r>
        <w:rPr>
          <w:rFonts w:ascii="Times New Roman" w:hAnsi="Times New Roman"/>
          <w:i/>
          <w:color w:val="000000"/>
          <w:sz w:val="24"/>
        </w:rPr>
        <w:t>Anti</w:t>
        <w:noBreakHyphen/>
        <w:t>Terrorism Laws”</w:t>
      </w:r>
      <w:r>
        <w:rPr>
          <w:rFonts w:ascii="Times New Roman" w:hAnsi="Times New Roman"/>
          <w:color w:val="000000"/>
          <w:sz w:val="20"/>
        </w:rPr>
        <w:t xml:space="preserve"> </w:t>
      </w:r>
      <w:r>
        <w:rPr>
          <w:rFonts w:ascii="Times New Roman" w:hAnsi="Times New Roman"/>
          <w:color w:val="000000"/>
          <w:sz w:val="24"/>
        </w:rPr>
        <w:t xml:space="preserve">means any laws or regulations relating to terrorism or money laundering, including, without limitation the </w:t>
      </w:r>
      <w:r>
        <w:rPr>
          <w:rFonts w:ascii="Times New Roman" w:hAnsi="Times New Roman"/>
          <w:i/>
          <w:color w:val="000000"/>
          <w:sz w:val="24"/>
        </w:rPr>
        <w:t>Bank Secrecy Act</w:t>
      </w:r>
      <w:r>
        <w:rPr>
          <w:rFonts w:ascii="Times New Roman" w:hAnsi="Times New Roman"/>
          <w:color w:val="000000"/>
          <w:sz w:val="20"/>
        </w:rPr>
        <w:t xml:space="preserve"> </w:t>
      </w:r>
      <w:r>
        <w:rPr>
          <w:rFonts w:ascii="Times New Roman" w:hAnsi="Times New Roman"/>
          <w:color w:val="000000"/>
          <w:sz w:val="24"/>
        </w:rPr>
        <w:t xml:space="preserve">(31 U.S.C. §§ 5311 </w:t>
      </w:r>
      <w:r>
        <w:rPr>
          <w:rFonts w:ascii="Times New Roman" w:hAnsi="Times New Roman"/>
          <w:i/>
          <w:color w:val="000000"/>
          <w:sz w:val="24"/>
        </w:rPr>
        <w:t>et seq.</w:t>
      </w:r>
      <w:r>
        <w:rPr>
          <w:rFonts w:ascii="Times New Roman" w:hAnsi="Times New Roman"/>
          <w:color w:val="000000"/>
          <w:sz w:val="24"/>
        </w:rPr>
        <w:t xml:space="preserve">), the </w:t>
      </w:r>
      <w:r>
        <w:rPr>
          <w:rFonts w:ascii="Times New Roman" w:hAnsi="Times New Roman"/>
          <w:i/>
          <w:color w:val="000000"/>
          <w:sz w:val="24"/>
        </w:rPr>
        <w:t>Money Laundering Control Act of 1986</w:t>
      </w:r>
      <w:r>
        <w:rPr>
          <w:rFonts w:ascii="Times New Roman" w:hAnsi="Times New Roman"/>
          <w:color w:val="000000"/>
          <w:sz w:val="20"/>
        </w:rPr>
        <w:t xml:space="preserve"> </w:t>
      </w:r>
      <w:r>
        <w:rPr>
          <w:rFonts w:ascii="Times New Roman" w:hAnsi="Times New Roman"/>
          <w:color w:val="000000"/>
          <w:sz w:val="24"/>
        </w:rPr>
        <w:t xml:space="preserve">(18 U.S.C. §§ 1956 </w:t>
      </w:r>
      <w:r>
        <w:rPr>
          <w:rFonts w:ascii="Times New Roman" w:hAnsi="Times New Roman"/>
          <w:i/>
          <w:color w:val="000000"/>
          <w:sz w:val="24"/>
        </w:rPr>
        <w:t>et seq.</w:t>
      </w:r>
      <w:r>
        <w:rPr>
          <w:rFonts w:ascii="Times New Roman" w:hAnsi="Times New Roman"/>
          <w:color w:val="000000"/>
          <w:sz w:val="24"/>
        </w:rPr>
        <w:t>), the USA Patriot Act and any similar law enacted in the United States after the date of this Agreement.</w:t>
      </w:r>
    </w:p>
    <w:p>
      <w:pPr>
        <w:pStyle w:val="TextBody"/>
        <w:bidi w:val="0"/>
        <w:spacing w:before="200" w:after="283"/>
        <w:jc w:val="both"/>
        <w:rPr/>
      </w:pPr>
      <w:r>
        <w:rPr>
          <w:color w:val="000000"/>
        </w:rPr>
        <w:t>“</w:t>
      </w:r>
      <w:r>
        <w:rPr>
          <w:rFonts w:ascii="Times New Roman" w:hAnsi="Times New Roman"/>
          <w:i/>
          <w:color w:val="000000"/>
          <w:sz w:val="24"/>
        </w:rPr>
        <w:t>Applicable Margin”</w:t>
      </w:r>
      <w:r>
        <w:rPr>
          <w:rFonts w:ascii="Times New Roman" w:hAnsi="Times New Roman"/>
          <w:color w:val="000000"/>
          <w:sz w:val="20"/>
        </w:rPr>
        <w:t xml:space="preserve"> </w:t>
      </w:r>
      <w:r>
        <w:rPr>
          <w:rFonts w:ascii="Times New Roman" w:hAnsi="Times New Roman"/>
          <w:color w:val="000000"/>
          <w:sz w:val="24"/>
        </w:rPr>
        <w:t>means 7.50% per annum.</w:t>
      </w:r>
    </w:p>
    <w:p>
      <w:pPr>
        <w:pStyle w:val="TextBody"/>
        <w:bidi w:val="0"/>
        <w:spacing w:before="200" w:after="283"/>
        <w:jc w:val="both"/>
        <w:rPr/>
      </w:pPr>
      <w:r>
        <w:rPr>
          <w:color w:val="000000"/>
        </w:rPr>
        <w:t>“</w:t>
      </w:r>
      <w:r>
        <w:rPr>
          <w:rFonts w:ascii="Times New Roman" w:hAnsi="Times New Roman"/>
          <w:i/>
          <w:color w:val="000000"/>
          <w:sz w:val="24"/>
        </w:rPr>
        <w:t xml:space="preserve">Approved Fund” </w:t>
      </w:r>
      <w:r>
        <w:rPr>
          <w:rFonts w:ascii="Times New Roman" w:hAnsi="Times New Roman"/>
          <w:color w:val="000000"/>
          <w:sz w:val="24"/>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200" w:after="283"/>
        <w:jc w:val="both"/>
        <w:rPr/>
      </w:pPr>
      <w:r>
        <w:rPr>
          <w:color w:val="000000"/>
        </w:rPr>
        <w:t>“</w:t>
      </w:r>
      <w:r>
        <w:rPr>
          <w:rFonts w:ascii="Times New Roman" w:hAnsi="Times New Roman"/>
          <w:i/>
          <w:color w:val="000000"/>
          <w:sz w:val="24"/>
        </w:rPr>
        <w:t>Asset Sale”</w:t>
      </w:r>
      <w:r>
        <w:rPr>
          <w:rFonts w:ascii="Times New Roman" w:hAnsi="Times New Roman"/>
          <w:color w:val="000000"/>
          <w:sz w:val="20"/>
        </w:rPr>
        <w:t xml:space="preserve"> </w:t>
      </w:r>
      <w:r>
        <w:rPr>
          <w:rFonts w:ascii="Times New Roman" w:hAnsi="Times New Roman"/>
          <w:color w:val="000000"/>
          <w:sz w:val="24"/>
        </w:rPr>
        <w:t>has the meaning set forth in Section 9.09.</w:t>
      </w:r>
    </w:p>
    <w:p>
      <w:pPr>
        <w:pStyle w:val="TextBody"/>
        <w:bidi w:val="0"/>
        <w:spacing w:before="200" w:after="283"/>
        <w:jc w:val="both"/>
        <w:rPr/>
      </w:pPr>
      <w:r>
        <w:rPr>
          <w:color w:val="000000"/>
        </w:rPr>
        <w:t>“</w:t>
      </w:r>
      <w:r>
        <w:rPr>
          <w:rFonts w:ascii="Times New Roman" w:hAnsi="Times New Roman"/>
          <w:i/>
          <w:color w:val="000000"/>
          <w:sz w:val="24"/>
        </w:rPr>
        <w:t xml:space="preserve">Assignment Agreement” </w:t>
      </w:r>
      <w:r>
        <w:rPr>
          <w:rFonts w:ascii="Times New Roman" w:hAnsi="Times New Roman"/>
          <w:color w:val="000000"/>
          <w:sz w:val="24"/>
        </w:rPr>
        <w:t>means an assignment and assumption entered into by a Lender and an assignee of such Lender in substantially the form of Exhibit F.</w:t>
      </w:r>
    </w:p>
    <w:p>
      <w:pPr>
        <w:pStyle w:val="TextBody"/>
        <w:bidi w:val="0"/>
        <w:spacing w:before="200" w:after="283"/>
        <w:jc w:val="both"/>
        <w:rPr/>
      </w:pPr>
      <w:r>
        <w:rPr>
          <w:color w:val="000000"/>
        </w:rPr>
        <w:t>“</w:t>
      </w:r>
      <w:r>
        <w:rPr>
          <w:rFonts w:ascii="Times New Roman" w:hAnsi="Times New Roman"/>
          <w:i/>
          <w:color w:val="000000"/>
          <w:sz w:val="24"/>
        </w:rPr>
        <w:t>ASX”</w:t>
      </w:r>
      <w:r>
        <w:rPr>
          <w:rFonts w:ascii="Times New Roman" w:hAnsi="Times New Roman"/>
          <w:color w:val="000000"/>
          <w:sz w:val="20"/>
        </w:rPr>
        <w:t xml:space="preserve"> </w:t>
      </w:r>
      <w:r>
        <w:rPr>
          <w:rFonts w:ascii="Times New Roman" w:hAnsi="Times New Roman"/>
          <w:color w:val="000000"/>
          <w:sz w:val="24"/>
        </w:rPr>
        <w:t>means the Australian Securities Exchange.</w:t>
      </w:r>
    </w:p>
    <w:p>
      <w:pPr>
        <w:pStyle w:val="TextBody"/>
        <w:bidi w:val="0"/>
        <w:spacing w:before="200" w:after="283"/>
        <w:jc w:val="both"/>
        <w:rPr/>
      </w:pPr>
      <w:r>
        <w:rPr>
          <w:color w:val="000000"/>
        </w:rPr>
        <w:t>“</w:t>
      </w:r>
      <w:r>
        <w:rPr>
          <w:rFonts w:ascii="Times New Roman" w:hAnsi="Times New Roman"/>
          <w:i/>
          <w:color w:val="000000"/>
          <w:sz w:val="24"/>
        </w:rPr>
        <w:t>Available Tenor”</w:t>
      </w:r>
      <w:r>
        <w:rPr>
          <w:rFonts w:ascii="Times New Roman" w:hAnsi="Times New Roman"/>
          <w:color w:val="000000"/>
          <w:sz w:val="20"/>
        </w:rPr>
        <w:t xml:space="preserve"> </w:t>
      </w:r>
      <w:r>
        <w:rPr>
          <w:rFonts w:ascii="Times New Roman" w:hAnsi="Times New Roman"/>
          <w:color w:val="000000"/>
          <w:sz w:val="24"/>
        </w:rPr>
        <w:t xml:space="preserve">means, as of the Closing Date, the only Available Tenor for Term SOFR is an interest period of one (1) month; </w:t>
      </w:r>
      <w:r>
        <w:rPr>
          <w:rFonts w:ascii="Times New Roman" w:hAnsi="Times New Roman"/>
          <w:i/>
          <w:color w:val="000000"/>
          <w:sz w:val="24"/>
        </w:rPr>
        <w:t xml:space="preserve">provided </w:t>
      </w:r>
      <w:r>
        <w:rPr>
          <w:rFonts w:ascii="Times New Roman" w:hAnsi="Times New Roman"/>
          <w:color w:val="000000"/>
          <w:sz w:val="24"/>
        </w:rPr>
        <w:t>that the Administrative Agent may select to use additional interest periods in accordance with the terms of Section 3.02(c)(iv) and such interest periods shall become Available Tenors upon such selection.</w:t>
      </w:r>
    </w:p>
    <w:p>
      <w:pPr>
        <w:pStyle w:val="TextBody"/>
        <w:bidi w:val="0"/>
        <w:spacing w:before="200" w:after="283"/>
        <w:jc w:val="both"/>
        <w:rPr/>
      </w:pPr>
      <w:r>
        <w:rPr>
          <w:color w:val="000000"/>
        </w:rPr>
        <w:t>“</w:t>
      </w:r>
      <w:r>
        <w:rPr>
          <w:rFonts w:ascii="Times New Roman" w:hAnsi="Times New Roman"/>
          <w:i/>
          <w:color w:val="000000"/>
          <w:sz w:val="24"/>
        </w:rPr>
        <w:t>Avita Americas”</w:t>
      </w:r>
      <w:r>
        <w:rPr>
          <w:rFonts w:ascii="Times New Roman" w:hAnsi="Times New Roman"/>
          <w:color w:val="000000"/>
          <w:sz w:val="20"/>
        </w:rPr>
        <w:t xml:space="preserve"> </w:t>
      </w:r>
      <w:r>
        <w:rPr>
          <w:rFonts w:ascii="Times New Roman" w:hAnsi="Times New Roman"/>
          <w:color w:val="000000"/>
          <w:sz w:val="24"/>
        </w:rPr>
        <w:t>means Avita Medical Americas, LLC, a Delaware limited liability company.</w:t>
      </w:r>
      <w:r>
        <w:rPr>
          <w:rFonts w:ascii="Times New Roman" w:hAnsi="Times New Roman"/>
          <w:color w:val="000000"/>
          <w:sz w:val="20"/>
        </w:rPr>
        <w:t xml:space="preserve"> </w:t>
      </w:r>
    </w:p>
    <w:p>
      <w:pPr>
        <w:pStyle w:val="TextBody"/>
        <w:bidi w:val="0"/>
        <w:spacing w:before="200" w:after="283"/>
        <w:jc w:val="both"/>
        <w:rPr/>
      </w:pPr>
      <w:r>
        <w:rPr>
          <w:color w:val="000000"/>
        </w:rPr>
        <w:t>“</w:t>
      </w:r>
      <w:r>
        <w:rPr>
          <w:rFonts w:ascii="Times New Roman" w:hAnsi="Times New Roman"/>
          <w:i/>
          <w:color w:val="000000"/>
          <w:sz w:val="24"/>
        </w:rPr>
        <w:t>AVITA Japan</w:t>
      </w:r>
      <w:r>
        <w:rPr>
          <w:rFonts w:ascii="Times New Roman" w:hAnsi="Times New Roman"/>
          <w:color w:val="000000"/>
          <w:sz w:val="20"/>
        </w:rPr>
        <w:t xml:space="preserve">” </w:t>
      </w:r>
      <w:r>
        <w:rPr>
          <w:rFonts w:ascii="Times New Roman" w:hAnsi="Times New Roman"/>
          <w:color w:val="000000"/>
          <w:sz w:val="24"/>
        </w:rPr>
        <w:t>means AVITA Medical Japan GK, a Japanese company established with limited liability.</w:t>
      </w:r>
    </w:p>
    <w:p>
      <w:pPr>
        <w:pStyle w:val="TextBody"/>
        <w:bidi w:val="0"/>
        <w:spacing w:before="200" w:after="283"/>
        <w:jc w:val="both"/>
        <w:rPr/>
      </w:pPr>
      <w:r>
        <w:rPr>
          <w:color w:val="000000"/>
        </w:rPr>
        <w:t>“</w:t>
      </w:r>
      <w:r>
        <w:rPr>
          <w:rFonts w:ascii="Times New Roman" w:hAnsi="Times New Roman"/>
          <w:i/>
          <w:color w:val="000000"/>
          <w:sz w:val="24"/>
        </w:rPr>
        <w:t>Bankruptcy Code”</w:t>
      </w:r>
      <w:r>
        <w:rPr>
          <w:rFonts w:ascii="Times New Roman" w:hAnsi="Times New Roman"/>
          <w:color w:val="000000"/>
          <w:sz w:val="20"/>
        </w:rPr>
        <w:t xml:space="preserve"> </w:t>
      </w:r>
      <w:r>
        <w:rPr>
          <w:rFonts w:ascii="Times New Roman" w:hAnsi="Times New Roman"/>
          <w:color w:val="000000"/>
          <w:sz w:val="24"/>
        </w:rPr>
        <w:t>means Title 11 of the United States Code entitled “Bankruptcy.”</w:t>
      </w:r>
    </w:p>
    <w:p>
      <w:pPr>
        <w:pStyle w:val="TextBody"/>
        <w:bidi w:val="0"/>
        <w:spacing w:before="200" w:after="283"/>
        <w:jc w:val="both"/>
        <w:rPr/>
      </w:pPr>
      <w:r>
        <w:rPr>
          <w:color w:val="000000"/>
        </w:rPr>
        <w:t>“</w:t>
      </w:r>
      <w:r>
        <w:rPr>
          <w:rFonts w:ascii="Times New Roman" w:hAnsi="Times New Roman"/>
          <w:i/>
          <w:color w:val="000000"/>
          <w:sz w:val="24"/>
        </w:rPr>
        <w:t>Benchmark</w:t>
      </w:r>
      <w:r>
        <w:rPr>
          <w:rFonts w:ascii="Times New Roman" w:hAnsi="Times New Roman"/>
          <w:color w:val="000000"/>
          <w:sz w:val="20"/>
        </w:rPr>
        <w:t xml:space="preserve">” </w:t>
      </w:r>
      <w:r>
        <w:rPr>
          <w:rFonts w:ascii="Times New Roman" w:hAnsi="Times New Roman"/>
          <w:color w:val="000000"/>
          <w:sz w:val="24"/>
        </w:rPr>
        <w:t xml:space="preserve">means, initially, the Term SOFR Reference Rate; </w:t>
      </w:r>
      <w:r>
        <w:rPr>
          <w:rFonts w:ascii="Times New Roman" w:hAnsi="Times New Roman"/>
          <w:i/>
          <w:color w:val="000000"/>
          <w:sz w:val="24"/>
        </w:rPr>
        <w:t xml:space="preserve">provided </w:t>
      </w:r>
      <w:r>
        <w:rPr>
          <w:rFonts w:ascii="Times New Roman" w:hAnsi="Times New Roman"/>
          <w:color w:val="000000"/>
          <w:sz w:val="24"/>
        </w:rPr>
        <w:t>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3.02(c).</w:t>
      </w:r>
    </w:p>
    <w:p>
      <w:pPr>
        <w:pStyle w:val="TextBody"/>
        <w:bidi w:val="0"/>
        <w:spacing w:before="200" w:after="283"/>
        <w:jc w:val="both"/>
        <w:rPr/>
      </w:pPr>
      <w:r>
        <w:rPr>
          <w:color w:val="000000"/>
        </w:rPr>
        <w:t>“</w:t>
      </w:r>
      <w:r>
        <w:rPr>
          <w:rFonts w:ascii="Times New Roman" w:hAnsi="Times New Roman"/>
          <w:i/>
          <w:color w:val="000000"/>
          <w:sz w:val="24"/>
        </w:rPr>
        <w:t>Benchmark Replacement</w:t>
      </w:r>
      <w:r>
        <w:rPr>
          <w:rFonts w:ascii="Times New Roman" w:hAnsi="Times New Roman"/>
          <w:color w:val="000000"/>
          <w:sz w:val="20"/>
        </w:rPr>
        <w:t xml:space="preserve">” </w:t>
      </w:r>
      <w:r>
        <w:rPr>
          <w:rFonts w:ascii="Times New Roman" w:hAnsi="Times New Roman"/>
          <w:color w:val="000000"/>
          <w:sz w:val="24"/>
        </w:rPr>
        <w:t>means the first alternative set forth in the order below that can be determined by the Administrative Agent for the applicable Benchmark Replacement Date:</w:t>
      </w:r>
    </w:p>
    <w:p>
      <w:pPr>
        <w:pStyle w:val="TextBody"/>
        <w:bidi w:val="0"/>
        <w:spacing w:before="14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Daily Simple SOFR; or</w:t>
      </w:r>
    </w:p>
    <w:p>
      <w:pPr>
        <w:pStyle w:val="TextBody"/>
        <w:bidi w:val="0"/>
        <w:spacing w:before="14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before="280" w:after="283"/>
        <w:jc w:val="both"/>
        <w:rPr/>
      </w:pPr>
      <w:r>
        <w:rPr>
          <w:color w:val="000000"/>
        </w:rPr>
        <w:t>“</w:t>
      </w:r>
      <w:r>
        <w:rPr>
          <w:rFonts w:ascii="Times New Roman" w:hAnsi="Times New Roman"/>
          <w:i/>
          <w:color w:val="000000"/>
          <w:sz w:val="24"/>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280" w:after="283"/>
        <w:jc w:val="both"/>
        <w:rPr/>
      </w:pPr>
      <w:r>
        <w:rPr>
          <w:color w:val="000000"/>
        </w:rPr>
        <w:t>“</w:t>
      </w:r>
      <w:r>
        <w:rPr>
          <w:rFonts w:ascii="Times New Roman" w:hAnsi="Times New Roman"/>
          <w:i/>
          <w:color w:val="000000"/>
          <w:sz w:val="24"/>
        </w:rPr>
        <w:t>Benchmark Replacement Date</w:t>
      </w:r>
      <w:r>
        <w:rPr>
          <w:rFonts w:ascii="Times New Roman" w:hAnsi="Times New Roman"/>
          <w:color w:val="000000"/>
          <w:sz w:val="20"/>
        </w:rPr>
        <w:t xml:space="preserve">” </w:t>
      </w:r>
      <w:r>
        <w:rPr>
          <w:rFonts w:ascii="Times New Roman" w:hAnsi="Times New Roman"/>
          <w:color w:val="000000"/>
          <w:sz w:val="24"/>
        </w:rPr>
        <w:t>means a date and time determined by the Administrative Agent, which date shall be no later than the earliest to occur of the following events with respect to the then-current Benchmark:</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280" w:after="283"/>
        <w:jc w:val="both"/>
        <w:rPr/>
      </w:pPr>
      <w:r>
        <w:rPr>
          <w:color w:val="000000"/>
        </w:rPr>
        <w:t>“</w:t>
      </w:r>
      <w:r>
        <w:rPr>
          <w:rFonts w:ascii="Times New Roman" w:hAnsi="Times New Roman"/>
          <w:i/>
          <w:color w:val="000000"/>
          <w:sz w:val="24"/>
        </w:rPr>
        <w:t>Benchmark Transition Event</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with respect to the then-current Benchmark:</w:t>
      </w:r>
    </w:p>
    <w:p>
      <w:pPr>
        <w:pStyle w:val="TextBody"/>
        <w:bidi w:val="0"/>
        <w:spacing w:before="14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color w:val="000000"/>
          <w:sz w:val="24"/>
        </w:rPr>
        <w:t xml:space="preserve">provided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w:t>
      </w:r>
    </w:p>
    <w:p>
      <w:pPr>
        <w:pStyle w:val="TextBody"/>
        <w:bidi w:val="0"/>
        <w:spacing w:before="14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 public statement or publication of information by the regulatory supervisor for the administrator of such Benchmark (or the published component used in the calculation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140" w:after="283"/>
        <w:jc w:val="both"/>
        <w:rPr>
          <w:rFonts w:ascii="Times New Roman" w:hAnsi="Times New Roman"/>
          <w:sz w:val="20"/>
        </w:rPr>
      </w:pPr>
      <w:r>
        <w:rPr>
          <w:rFonts w:ascii="Times New Roman" w:hAnsi="Times New Roman"/>
          <w:color w:val="000000"/>
          <w:sz w:val="24"/>
        </w:rPr>
        <w:t xml:space="preserve">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i/>
          <w:color w:val="000000"/>
          <w:sz w:val="24"/>
        </w:rPr>
        <w:t xml:space="preserve">provided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w:t>
      </w:r>
    </w:p>
    <w:p>
      <w:pPr>
        <w:pStyle w:val="TextBody"/>
        <w:bidi w:val="0"/>
        <w:spacing w:before="14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00" w:after="283"/>
        <w:jc w:val="both"/>
        <w:rPr/>
      </w:pPr>
      <w:r>
        <w:rPr>
          <w:color w:val="000000"/>
        </w:rPr>
        <w:t>“</w:t>
      </w:r>
      <w:r>
        <w:rPr>
          <w:rFonts w:ascii="Times New Roman" w:hAnsi="Times New Roman"/>
          <w:i/>
          <w:color w:val="000000"/>
          <w:sz w:val="24"/>
        </w:rPr>
        <w:t>Beneficial Ownership Regulation</w:t>
      </w:r>
      <w:r>
        <w:rPr>
          <w:rFonts w:ascii="Times New Roman" w:hAnsi="Times New Roman"/>
          <w:color w:val="000000"/>
          <w:sz w:val="20"/>
        </w:rPr>
        <w:t xml:space="preserve">” </w:t>
      </w:r>
      <w:r>
        <w:rPr>
          <w:rFonts w:ascii="Times New Roman" w:hAnsi="Times New Roman"/>
          <w:color w:val="000000"/>
          <w:sz w:val="24"/>
        </w:rPr>
        <w:t>has the meaning set forth in Section 13.16.</w:t>
      </w:r>
    </w:p>
    <w:p>
      <w:pPr>
        <w:pStyle w:val="TextBody"/>
        <w:bidi w:val="0"/>
        <w:spacing w:before="200" w:after="283"/>
        <w:jc w:val="both"/>
        <w:rPr/>
      </w:pPr>
      <w:r>
        <w:rPr>
          <w:color w:val="000000"/>
        </w:rPr>
        <w:t>“</w:t>
      </w:r>
      <w:r>
        <w:rPr>
          <w:rFonts w:ascii="Times New Roman" w:hAnsi="Times New Roman"/>
          <w:i/>
          <w:color w:val="000000"/>
          <w:sz w:val="24"/>
        </w:rPr>
        <w:t>Benefit Plan”</w:t>
      </w:r>
      <w:r>
        <w:rPr>
          <w:rFonts w:ascii="Times New Roman" w:hAnsi="Times New Roman"/>
          <w:color w:val="000000"/>
          <w:sz w:val="20"/>
        </w:rPr>
        <w:t xml:space="preserve"> </w:t>
      </w:r>
      <w:r>
        <w:rPr>
          <w:rFonts w:ascii="Times New Roman" w:hAnsi="Times New Roman"/>
          <w:color w:val="000000"/>
          <w:sz w:val="24"/>
        </w:rPr>
        <w:t>means any “employee benefit plan” as defined in Section 3(3) of ERISA (other than a Multiemployer Plan) to which any Obligor or Subsidiary thereof incurs or otherwise has any obligation or liability, contingent or otherwise.</w:t>
      </w:r>
    </w:p>
    <w:p>
      <w:pPr>
        <w:pStyle w:val="TextBody"/>
        <w:bidi w:val="0"/>
        <w:spacing w:before="200" w:after="283"/>
        <w:jc w:val="both"/>
        <w:rPr/>
      </w:pPr>
      <w:r>
        <w:rPr>
          <w:color w:val="000000"/>
        </w:rPr>
        <w:t>“</w:t>
      </w:r>
      <w:r>
        <w:rPr>
          <w:rFonts w:ascii="Times New Roman" w:hAnsi="Times New Roman"/>
          <w:i/>
          <w:color w:val="000000"/>
          <w:sz w:val="24"/>
        </w:rPr>
        <w:t>Board</w:t>
      </w:r>
      <w:r>
        <w:rPr>
          <w:rFonts w:ascii="Times New Roman" w:hAnsi="Times New Roman"/>
          <w:color w:val="000000"/>
          <w:sz w:val="20"/>
        </w:rPr>
        <w:t xml:space="preserve">” </w:t>
      </w:r>
      <w:r>
        <w:rPr>
          <w:rFonts w:ascii="Times New Roman" w:hAnsi="Times New Roman"/>
          <w:color w:val="000000"/>
          <w:sz w:val="24"/>
        </w:rPr>
        <w:t>means, with respect to any Person, the board of managers or directors (as applicable) (or equivalent governing body) of such Person or any committee thereof.</w:t>
      </w:r>
    </w:p>
    <w:p>
      <w:pPr>
        <w:pStyle w:val="TextBody"/>
        <w:bidi w:val="0"/>
        <w:spacing w:before="200" w:after="283"/>
        <w:jc w:val="both"/>
        <w:rPr/>
      </w:pPr>
      <w:r>
        <w:rPr>
          <w:color w:val="000000"/>
        </w:rPr>
        <w:t>“</w:t>
      </w:r>
      <w:r>
        <w:rPr>
          <w:rFonts w:ascii="Times New Roman" w:hAnsi="Times New Roman"/>
          <w:i/>
          <w:color w:val="000000"/>
          <w:sz w:val="24"/>
        </w:rPr>
        <w:t xml:space="preserve">Borrower” </w:t>
      </w:r>
      <w:r>
        <w:rPr>
          <w:rFonts w:ascii="Times New Roman" w:hAnsi="Times New Roman"/>
          <w:color w:val="000000"/>
          <w:sz w:val="24"/>
        </w:rPr>
        <w:t>has the meaning set forth in the introduction hereto.</w:t>
      </w:r>
    </w:p>
    <w:p>
      <w:pPr>
        <w:pStyle w:val="TextBody"/>
        <w:bidi w:val="0"/>
        <w:spacing w:before="200" w:after="283"/>
        <w:jc w:val="both"/>
        <w:rPr/>
      </w:pPr>
      <w:r>
        <w:rPr>
          <w:color w:val="000000"/>
        </w:rPr>
        <w:t>“</w:t>
      </w:r>
      <w:r>
        <w:rPr>
          <w:rFonts w:ascii="Times New Roman" w:hAnsi="Times New Roman"/>
          <w:i/>
          <w:color w:val="000000"/>
          <w:sz w:val="24"/>
        </w:rPr>
        <w:t>Borrowing</w:t>
      </w:r>
      <w:r>
        <w:rPr>
          <w:rFonts w:ascii="Times New Roman" w:hAnsi="Times New Roman"/>
          <w:color w:val="000000"/>
          <w:sz w:val="20"/>
        </w:rPr>
        <w:t xml:space="preserve">” </w:t>
      </w:r>
      <w:r>
        <w:rPr>
          <w:rFonts w:ascii="Times New Roman" w:hAnsi="Times New Roman"/>
          <w:color w:val="000000"/>
          <w:sz w:val="24"/>
        </w:rPr>
        <w:t>means a borrowing consisting of the Tranche A Term Loan made by the Lenders on the Closing Date or the Tranche B Term Loan made by the Lenders on the Tranche B Term Loan Borrowing Date, as applicable.</w:t>
      </w:r>
    </w:p>
    <w:p>
      <w:pPr>
        <w:pStyle w:val="TextBody"/>
        <w:bidi w:val="0"/>
        <w:spacing w:before="200" w:after="283"/>
        <w:jc w:val="both"/>
        <w:rPr/>
      </w:pPr>
      <w:r>
        <w:rPr>
          <w:color w:val="000000"/>
        </w:rPr>
        <w:t>“</w:t>
      </w:r>
      <w:r>
        <w:rPr>
          <w:rFonts w:ascii="Times New Roman" w:hAnsi="Times New Roman"/>
          <w:i/>
          <w:color w:val="000000"/>
          <w:sz w:val="24"/>
        </w:rPr>
        <w:t>Borrowing Notice”</w:t>
      </w:r>
      <w:r>
        <w:rPr>
          <w:rFonts w:ascii="Times New Roman" w:hAnsi="Times New Roman"/>
          <w:color w:val="000000"/>
          <w:sz w:val="20"/>
        </w:rPr>
        <w:t xml:space="preserve"> </w:t>
      </w:r>
      <w:r>
        <w:rPr>
          <w:rFonts w:ascii="Times New Roman" w:hAnsi="Times New Roman"/>
          <w:color w:val="000000"/>
          <w:sz w:val="24"/>
        </w:rPr>
        <w:t>means a notice substantially in the form attached hereto as Exhibit B.</w:t>
      </w:r>
    </w:p>
    <w:p>
      <w:pPr>
        <w:pStyle w:val="TextBody"/>
        <w:bidi w:val="0"/>
        <w:spacing w:before="200" w:after="283"/>
        <w:jc w:val="both"/>
        <w:rPr/>
      </w:pPr>
      <w:r>
        <w:rPr>
          <w:color w:val="000000"/>
        </w:rPr>
        <w:t>“</w:t>
      </w:r>
      <w:r>
        <w:rPr>
          <w:rFonts w:ascii="Times New Roman" w:hAnsi="Times New Roman"/>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a day (other than a Saturday or Sunday) on which commercial banks are not authorized or required to close in New York City.</w:t>
      </w:r>
      <w:r>
        <w:rPr>
          <w:rFonts w:ascii="Times New Roman" w:hAnsi="Times New Roman"/>
          <w:color w:val="000000"/>
          <w:sz w:val="20"/>
        </w:rPr>
        <w:t xml:space="preserve"> </w:t>
      </w:r>
    </w:p>
    <w:p>
      <w:pPr>
        <w:pStyle w:val="TextBody"/>
        <w:bidi w:val="0"/>
        <w:spacing w:before="200" w:after="283"/>
        <w:jc w:val="both"/>
        <w:rPr/>
      </w:pPr>
      <w:r>
        <w:rPr>
          <w:color w:val="000000"/>
        </w:rPr>
        <w:t>“</w:t>
      </w:r>
      <w:r>
        <w:rPr>
          <w:rFonts w:ascii="Times New Roman" w:hAnsi="Times New Roman"/>
          <w:i/>
          <w:color w:val="000000"/>
          <w:sz w:val="24"/>
        </w:rPr>
        <w:t>Capital Lease Obligations”</w:t>
      </w:r>
      <w:r>
        <w:rPr>
          <w:rFonts w:ascii="Times New Roman" w:hAnsi="Times New Roman"/>
          <w:color w:val="000000"/>
          <w:sz w:val="20"/>
        </w:rPr>
        <w:t xml:space="preserve"> </w:t>
      </w:r>
      <w:r>
        <w:rPr>
          <w:rFonts w:ascii="Times New Roman" w:hAnsi="Times New Roman"/>
          <w:color w:val="000000"/>
          <w:sz w:val="24"/>
        </w:rPr>
        <w:t>means,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 in accordance with GAAP.</w:t>
      </w:r>
    </w:p>
    <w:p>
      <w:pPr>
        <w:pStyle w:val="TextBody"/>
        <w:bidi w:val="0"/>
        <w:spacing w:before="200" w:after="283"/>
        <w:jc w:val="both"/>
        <w:rPr/>
      </w:pPr>
      <w:r>
        <w:rPr>
          <w:color w:val="000000"/>
        </w:rPr>
        <w:t>“</w:t>
      </w:r>
      <w:r>
        <w:rPr>
          <w:rFonts w:ascii="Times New Roman" w:hAnsi="Times New Roman"/>
          <w:i/>
          <w:color w:val="000000"/>
          <w:sz w:val="24"/>
        </w:rPr>
        <w:t>Casualty Event”</w:t>
      </w:r>
      <w:r>
        <w:rPr>
          <w:rFonts w:ascii="Times New Roman" w:hAnsi="Times New Roman"/>
          <w:color w:val="000000"/>
          <w:sz w:val="20"/>
        </w:rPr>
        <w:t xml:space="preserve"> </w:t>
      </w:r>
      <w:r>
        <w:rPr>
          <w:rFonts w:ascii="Times New Roman" w:hAnsi="Times New Roman"/>
          <w:color w:val="000000"/>
          <w:sz w:val="24"/>
        </w:rPr>
        <w:t>means any actual or constructive loss, condemnation, destruction, confiscation, requisition, seizure or forfeiture of all or any material portion of the assets of the Borrower or any other Obligor, excluding only those assets, individually or in the aggregate, subject to any such event during any calendar year with a fair market value as of the date thereof equal to or less than $250,000.</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pPr>
      <w:r>
        <w:rPr>
          <w:color w:val="000000"/>
        </w:rPr>
        <w:t>“</w:t>
      </w:r>
      <w:r>
        <w:rPr>
          <w:rFonts w:ascii="Times New Roman" w:hAnsi="Times New Roman"/>
          <w:i/>
          <w:color w:val="000000"/>
          <w:sz w:val="24"/>
        </w:rPr>
        <w:t xml:space="preserve">Change of Control” </w:t>
      </w:r>
      <w:r>
        <w:rPr>
          <w:rFonts w:ascii="Times New Roman" w:hAnsi="Times New Roman"/>
          <w:color w:val="000000"/>
          <w:sz w:val="24"/>
        </w:rPr>
        <w:t>means and shall be deemed to have occurred if:</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any “person” or “group” (within the meaning of Rule 13d-5 of the Exchange Act as in effect on the date hereof) shall own, directly or indirectly, beneficially or of record, shares representing 40% or more of the aggregate ordinary voting power represented by the issued and outstanding Equity Interests of the Borrower;</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during any period of twelve (12) consecutive calendar months, the occupation of a majority of the seats (other than vacant seats) on the Board of the Borrower by Persons who were neither (i) nominated or approved by the Board of the Borrower, nor (ii) appointed by directors on the Board on the date hereof or so nominated; and</w:t>
      </w:r>
    </w:p>
    <w:p>
      <w:pPr>
        <w:pStyle w:val="TextBody"/>
        <w:bidi w:val="0"/>
        <w:spacing w:before="20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each Obligor shall cease to own directly, beneficially and of record, determined on a fully diluted basis, 100% of the issued and outstanding Equity Interests of its Subsidiaries.</w:t>
      </w:r>
    </w:p>
    <w:p>
      <w:pPr>
        <w:pStyle w:val="TextBody"/>
        <w:bidi w:val="0"/>
        <w:spacing w:before="200" w:after="283"/>
        <w:jc w:val="both"/>
        <w:rPr/>
      </w:pPr>
      <w:r>
        <w:rPr>
          <w:color w:val="000000"/>
        </w:rPr>
        <w:t>“</w:t>
      </w:r>
      <w:r>
        <w:rPr>
          <w:rFonts w:ascii="Times New Roman" w:hAnsi="Times New Roman"/>
          <w:i/>
          <w:color w:val="000000"/>
          <w:sz w:val="24"/>
        </w:rPr>
        <w:t>Claims”</w:t>
      </w:r>
      <w:r>
        <w:rPr>
          <w:rFonts w:ascii="Times New Roman" w:hAnsi="Times New Roman"/>
          <w:color w:val="000000"/>
          <w:sz w:val="20"/>
        </w:rPr>
        <w:t xml:space="preserve"> </w:t>
      </w:r>
      <w:r>
        <w:rPr>
          <w:rFonts w:ascii="Times New Roman" w:hAnsi="Times New Roman"/>
          <w:color w:val="000000"/>
          <w:sz w:val="24"/>
        </w:rPr>
        <w:t>includes claims, litigation, demands, complaints, grievances, actions, applications, suits, causes of action, orders, charges, indictments, prosecutions, information (brought by a public prosecutor without grand jury indictment) or other similar processes, assessments or reassessments.</w:t>
      </w:r>
    </w:p>
    <w:p>
      <w:pPr>
        <w:pStyle w:val="TextBody"/>
        <w:bidi w:val="0"/>
        <w:spacing w:before="200" w:after="283"/>
        <w:jc w:val="both"/>
        <w:rPr/>
      </w:pPr>
      <w:r>
        <w:rPr>
          <w:color w:val="000000"/>
        </w:rPr>
        <w:t>“</w:t>
      </w:r>
      <w:r>
        <w:rPr>
          <w:rFonts w:ascii="Times New Roman" w:hAnsi="Times New Roman"/>
          <w:i/>
          <w:color w:val="000000"/>
          <w:sz w:val="24"/>
        </w:rPr>
        <w:t>Closing Date”</w:t>
      </w:r>
      <w:r>
        <w:rPr>
          <w:rFonts w:ascii="Times New Roman" w:hAnsi="Times New Roman"/>
          <w:color w:val="000000"/>
          <w:sz w:val="20"/>
        </w:rPr>
        <w:t xml:space="preserve"> </w:t>
      </w:r>
      <w:r>
        <w:rPr>
          <w:rFonts w:ascii="Times New Roman" w:hAnsi="Times New Roman"/>
          <w:color w:val="000000"/>
          <w:sz w:val="24"/>
        </w:rPr>
        <w:t>means the Business Day on which all of the conditions set forth in Section 6.01 have been satisfied or waived by the Lenders and the Tranche A Term Loan is made.</w:t>
      </w:r>
    </w:p>
    <w:p>
      <w:pPr>
        <w:pStyle w:val="TextBody"/>
        <w:bidi w:val="0"/>
        <w:spacing w:before="200" w:after="283"/>
        <w:jc w:val="both"/>
        <w:rPr/>
      </w:pPr>
      <w:r>
        <w:rPr>
          <w:color w:val="000000"/>
        </w:rPr>
        <w:t>“</w:t>
      </w:r>
      <w:r>
        <w:rPr>
          <w:rFonts w:ascii="Times New Roman" w:hAnsi="Times New Roman"/>
          <w:i/>
          <w:color w:val="000000"/>
          <w:sz w:val="24"/>
        </w:rPr>
        <w:t>Closing Fee</w:t>
      </w:r>
      <w:r>
        <w:rPr>
          <w:rFonts w:ascii="Times New Roman" w:hAnsi="Times New Roman"/>
          <w:color w:val="000000"/>
          <w:sz w:val="20"/>
        </w:rPr>
        <w:t xml:space="preserve">” </w:t>
      </w:r>
      <w:r>
        <w:rPr>
          <w:rFonts w:ascii="Times New Roman" w:hAnsi="Times New Roman"/>
          <w:color w:val="000000"/>
          <w:sz w:val="24"/>
        </w:rPr>
        <w:t>has the meaning set forth in the Fee Letter.</w:t>
      </w:r>
    </w:p>
    <w:p>
      <w:pPr>
        <w:pStyle w:val="TextBody"/>
        <w:bidi w:val="0"/>
        <w:spacing w:before="200" w:after="283"/>
        <w:jc w:val="both"/>
        <w:rPr/>
      </w:pPr>
      <w:r>
        <w:rPr>
          <w:color w:val="000000"/>
        </w:rPr>
        <w:t>“</w:t>
      </w:r>
      <w:r>
        <w:rPr>
          <w:rFonts w:ascii="Times New Roman" w:hAnsi="Times New Roman"/>
          <w:i/>
          <w:color w:val="000000"/>
          <w:sz w:val="24"/>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from time to time.</w:t>
      </w:r>
    </w:p>
    <w:p>
      <w:pPr>
        <w:pStyle w:val="TextBody"/>
        <w:bidi w:val="0"/>
        <w:spacing w:before="200" w:after="283"/>
        <w:jc w:val="both"/>
        <w:rPr/>
      </w:pPr>
      <w:r>
        <w:rPr>
          <w:color w:val="000000"/>
        </w:rPr>
        <w:t>“</w:t>
      </w:r>
      <w:r>
        <w:rPr>
          <w:rFonts w:ascii="Times New Roman" w:hAnsi="Times New Roman"/>
          <w:i/>
          <w:color w:val="000000"/>
          <w:sz w:val="24"/>
        </w:rPr>
        <w:t>Collateral”</w:t>
      </w:r>
      <w:r>
        <w:rPr>
          <w:rFonts w:ascii="Times New Roman" w:hAnsi="Times New Roman"/>
          <w:color w:val="000000"/>
          <w:sz w:val="20"/>
        </w:rPr>
        <w:t xml:space="preserve"> </w:t>
      </w:r>
      <w:r>
        <w:rPr>
          <w:rFonts w:ascii="Times New Roman" w:hAnsi="Times New Roman"/>
          <w:color w:val="000000"/>
          <w:sz w:val="24"/>
        </w:rPr>
        <w:t>means any Property in which a Lien is purported to be granted under any of the Security Documents (or all such Property, as the context may require).</w:t>
      </w:r>
    </w:p>
    <w:p>
      <w:pPr>
        <w:pStyle w:val="TextBody"/>
        <w:bidi w:val="0"/>
        <w:spacing w:before="200" w:after="283"/>
        <w:jc w:val="both"/>
        <w:rPr/>
      </w:pPr>
      <w:r>
        <w:rPr>
          <w:color w:val="000000"/>
        </w:rPr>
        <w:t>“</w:t>
      </w:r>
      <w:r>
        <w:rPr>
          <w:rFonts w:ascii="Times New Roman" w:hAnsi="Times New Roman"/>
          <w:i/>
          <w:color w:val="000000"/>
          <w:sz w:val="24"/>
        </w:rPr>
        <w:t>Collateral Assignment of Business Interruption Insurance Policy”</w:t>
      </w:r>
      <w:r>
        <w:rPr>
          <w:rFonts w:ascii="Times New Roman" w:hAnsi="Times New Roman"/>
          <w:color w:val="000000"/>
          <w:sz w:val="20"/>
        </w:rPr>
        <w:t xml:space="preserve"> </w:t>
      </w:r>
      <w:r>
        <w:rPr>
          <w:rFonts w:ascii="Times New Roman" w:hAnsi="Times New Roman"/>
          <w:color w:val="000000"/>
          <w:sz w:val="24"/>
        </w:rPr>
        <w:t>means a collateral assignment of any business interruption insurance in favor of the Administrative Agent, in form and substance reasonably satisfactory to the Administrative Agent.</w:t>
      </w:r>
    </w:p>
    <w:p>
      <w:pPr>
        <w:pStyle w:val="TextBody"/>
        <w:bidi w:val="0"/>
        <w:spacing w:before="200" w:after="283"/>
        <w:jc w:val="both"/>
        <w:rPr/>
      </w:pPr>
      <w:r>
        <w:rPr>
          <w:color w:val="000000"/>
        </w:rPr>
        <w:t>“</w:t>
      </w:r>
      <w:r>
        <w:rPr>
          <w:rFonts w:ascii="Times New Roman" w:hAnsi="Times New Roman"/>
          <w:i/>
          <w:color w:val="000000"/>
          <w:sz w:val="24"/>
        </w:rPr>
        <w:t>Collateral Questionnaire”</w:t>
      </w:r>
      <w:r>
        <w:rPr>
          <w:rFonts w:ascii="Times New Roman" w:hAnsi="Times New Roman"/>
          <w:color w:val="000000"/>
          <w:sz w:val="20"/>
        </w:rPr>
        <w:t xml:space="preserve"> </w:t>
      </w:r>
      <w:r>
        <w:rPr>
          <w:rFonts w:ascii="Times New Roman" w:hAnsi="Times New Roman"/>
          <w:color w:val="000000"/>
          <w:sz w:val="24"/>
        </w:rPr>
        <w:t>means that certain Collateral Questionnaire and certification by a Responsible Officer of the Borrower substantially in the form of attached hereto as Exhibit I and otherwise in form and substance satisfactory to the Administrative Agent.</w:t>
      </w:r>
    </w:p>
    <w:p>
      <w:pPr>
        <w:pStyle w:val="TextBody"/>
        <w:bidi w:val="0"/>
        <w:spacing w:before="200" w:after="283"/>
        <w:jc w:val="both"/>
        <w:rPr/>
      </w:pPr>
      <w:r>
        <w:rPr>
          <w:color w:val="000000"/>
        </w:rPr>
        <w:t>“</w:t>
      </w:r>
      <w:r>
        <w:rPr>
          <w:rFonts w:ascii="Times New Roman" w:hAnsi="Times New Roman"/>
          <w:i/>
          <w:color w:val="000000"/>
          <w:sz w:val="24"/>
        </w:rPr>
        <w:t>Commitment”</w:t>
      </w:r>
      <w:r>
        <w:rPr>
          <w:rFonts w:ascii="Times New Roman" w:hAnsi="Times New Roman"/>
          <w:color w:val="000000"/>
          <w:sz w:val="20"/>
        </w:rPr>
        <w:t xml:space="preserve"> </w:t>
      </w:r>
      <w:r>
        <w:rPr>
          <w:rFonts w:ascii="Times New Roman" w:hAnsi="Times New Roman"/>
          <w:color w:val="000000"/>
          <w:sz w:val="24"/>
        </w:rPr>
        <w:t>means, with respect to each Lender, such Lender’s (a) Tranche A Term Loan Commitment and (b) Tranche B Term Loan Commitment and “Commitments” means all such commitments of all Lenders. The amount of each Lender’s Commitments is set forth on Schedule 1. The aggregate Commitments of all Lenders as of the Closing Date is $60,000,000.</w:t>
      </w:r>
    </w:p>
    <w:p>
      <w:pPr>
        <w:pStyle w:val="TextBody"/>
        <w:bidi w:val="0"/>
        <w:spacing w:before="200" w:after="283"/>
        <w:jc w:val="both"/>
        <w:rPr/>
      </w:pPr>
      <w:r>
        <w:rPr>
          <w:color w:val="000000"/>
        </w:rPr>
        <w:t>“</w:t>
      </w:r>
      <w:r>
        <w:rPr>
          <w:rFonts w:ascii="Times New Roman" w:hAnsi="Times New Roman"/>
          <w:i/>
          <w:color w:val="000000"/>
          <w:sz w:val="24"/>
        </w:rPr>
        <w:t>Commodity Account”</w:t>
      </w:r>
      <w:r>
        <w:rPr>
          <w:rFonts w:ascii="Times New Roman" w:hAnsi="Times New Roman"/>
          <w:color w:val="000000"/>
          <w:sz w:val="20"/>
        </w:rPr>
        <w:t xml:space="preserve"> </w:t>
      </w:r>
      <w:r>
        <w:rPr>
          <w:rFonts w:ascii="Times New Roman" w:hAnsi="Times New Roman"/>
          <w:color w:val="000000"/>
          <w:sz w:val="24"/>
        </w:rPr>
        <w:t>has the meaning set forth in the Security Agreement.</w:t>
      </w:r>
    </w:p>
    <w:p>
      <w:pPr>
        <w:pStyle w:val="TextBody"/>
        <w:bidi w:val="0"/>
        <w:spacing w:before="200" w:after="283"/>
        <w:jc w:val="both"/>
        <w:rPr/>
      </w:pPr>
      <w:r>
        <w:rPr>
          <w:color w:val="000000"/>
        </w:rPr>
        <w:t>“</w:t>
      </w:r>
      <w:r>
        <w:rPr>
          <w:rFonts w:ascii="Times New Roman" w:hAnsi="Times New Roman"/>
          <w:i/>
          <w:color w:val="000000"/>
          <w:sz w:val="24"/>
        </w:rPr>
        <w:t>Competitor”</w:t>
      </w:r>
      <w:r>
        <w:rPr>
          <w:rFonts w:ascii="Times New Roman" w:hAnsi="Times New Roman"/>
          <w:color w:val="000000"/>
          <w:sz w:val="20"/>
        </w:rPr>
        <w:t xml:space="preserve"> </w:t>
      </w:r>
      <w:r>
        <w:rPr>
          <w:rFonts w:ascii="Times New Roman" w:hAnsi="Times New Roman"/>
          <w:color w:val="000000"/>
          <w:sz w:val="24"/>
        </w:rPr>
        <w:t xml:space="preserve">means any Person that is a bona fide direct competitor of any Obligor in the same industry or a substantially similar industry which offers a substantially similar product or service as any Obligor;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Lender or Affiliate of a Lender shall be deemed to be a direct competitor of any Obligor as a result of such Lender or Affiliate of such Lender being an investor in a business that may be a competitor of any Obligor.</w:t>
      </w:r>
    </w:p>
    <w:p>
      <w:pPr>
        <w:pStyle w:val="TextBody"/>
        <w:bidi w:val="0"/>
        <w:spacing w:before="200" w:after="283"/>
        <w:jc w:val="both"/>
        <w:rPr/>
      </w:pPr>
      <w:r>
        <w:rPr>
          <w:color w:val="000000"/>
        </w:rPr>
        <w:t>“</w:t>
      </w:r>
      <w:r>
        <w:rPr>
          <w:rFonts w:ascii="Times New Roman" w:hAnsi="Times New Roman"/>
          <w:i/>
          <w:color w:val="000000"/>
          <w:sz w:val="24"/>
        </w:rPr>
        <w:t>Compliance Certificate”</w:t>
      </w:r>
      <w:r>
        <w:rPr>
          <w:rFonts w:ascii="Times New Roman" w:hAnsi="Times New Roman"/>
          <w:color w:val="000000"/>
          <w:sz w:val="20"/>
        </w:rPr>
        <w:t xml:space="preserve"> </w:t>
      </w:r>
      <w:r>
        <w:rPr>
          <w:rFonts w:ascii="Times New Roman" w:hAnsi="Times New Roman"/>
          <w:color w:val="000000"/>
          <w:sz w:val="24"/>
        </w:rPr>
        <w:t>has the meaning set forth in Section 8.01(c).</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pPr>
      <w:r>
        <w:rPr>
          <w:color w:val="000000"/>
        </w:rPr>
        <w:t>“</w:t>
      </w:r>
      <w:r>
        <w:rPr>
          <w:rFonts w:ascii="Times New Roman" w:hAnsi="Times New Roman"/>
          <w:i/>
          <w:color w:val="000000"/>
          <w:sz w:val="24"/>
        </w:rPr>
        <w:t>Conforming Changes</w:t>
      </w:r>
      <w:r>
        <w:rPr>
          <w:rFonts w:ascii="Times New Roman" w:hAnsi="Times New Roman"/>
          <w:color w:val="000000"/>
          <w:sz w:val="20"/>
        </w:rPr>
        <w:t xml:space="preserve">” </w:t>
      </w:r>
      <w:r>
        <w:rPr>
          <w:rFonts w:ascii="Times New Roman" w:hAnsi="Times New Roman"/>
          <w:color w:val="000000"/>
          <w:sz w:val="24"/>
        </w:rPr>
        <w:t>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200" w:after="283"/>
        <w:jc w:val="both"/>
        <w:rPr/>
      </w:pPr>
      <w:r>
        <w:rPr>
          <w:color w:val="000000"/>
        </w:rPr>
        <w:t>“</w:t>
      </w:r>
      <w:r>
        <w:rPr>
          <w:rFonts w:ascii="Times New Roman" w:hAnsi="Times New Roman"/>
          <w:i/>
          <w:color w:val="000000"/>
          <w:sz w:val="24"/>
        </w:rPr>
        <w:t xml:space="preserve">Connection Income Taxes” </w:t>
      </w:r>
      <w:r>
        <w:rPr>
          <w:rFonts w:ascii="Times New Roman" w:hAnsi="Times New Roman"/>
          <w:color w:val="000000"/>
          <w:sz w:val="24"/>
        </w:rPr>
        <w:t>means Other Connection Taxes that are imposed on or measured by net income (however denominated) or that are franchise Taxes or branch profits Taxes.</w:t>
      </w:r>
    </w:p>
    <w:p>
      <w:pPr>
        <w:pStyle w:val="TextBody"/>
        <w:bidi w:val="0"/>
        <w:spacing w:before="200" w:after="283"/>
        <w:jc w:val="both"/>
        <w:rPr/>
      </w:pPr>
      <w:r>
        <w:rPr>
          <w:color w:val="000000"/>
        </w:rPr>
        <w:t>“</w:t>
      </w:r>
      <w:r>
        <w:rPr>
          <w:rFonts w:ascii="Times New Roman" w:hAnsi="Times New Roman"/>
          <w:i/>
          <w:color w:val="000000"/>
          <w:sz w:val="24"/>
        </w:rPr>
        <w:t>Contracts”</w:t>
      </w:r>
      <w:r>
        <w:rPr>
          <w:rFonts w:ascii="Times New Roman" w:hAnsi="Times New Roman"/>
          <w:color w:val="000000"/>
          <w:sz w:val="20"/>
        </w:rPr>
        <w:t xml:space="preserve"> </w:t>
      </w:r>
      <w:r>
        <w:rPr>
          <w:rFonts w:ascii="Times New Roman" w:hAnsi="Times New Roman"/>
          <w:color w:val="000000"/>
          <w:sz w:val="24"/>
        </w:rPr>
        <w:t>means any contract, license, instrument,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 excluding the Loan Documents.</w:t>
      </w:r>
    </w:p>
    <w:p>
      <w:pPr>
        <w:pStyle w:val="TextBody"/>
        <w:bidi w:val="0"/>
        <w:spacing w:before="200" w:after="283"/>
        <w:jc w:val="both"/>
        <w:rPr/>
      </w:pPr>
      <w:r>
        <w:rPr>
          <w:color w:val="000000"/>
        </w:rPr>
        <w:t>“</w:t>
      </w:r>
      <w:r>
        <w:rPr>
          <w:rFonts w:ascii="Times New Roman" w:hAnsi="Times New Roman"/>
          <w:i/>
          <w:color w:val="000000"/>
          <w:sz w:val="24"/>
        </w:rPr>
        <w:t>Control”</w:t>
      </w:r>
      <w:r>
        <w:rPr>
          <w:rFonts w:ascii="Times New Roman" w:hAnsi="Times New Roman"/>
          <w:color w:val="000000"/>
          <w:sz w:val="20"/>
        </w:rPr>
        <w:t xml:space="preserve"> </w:t>
      </w:r>
      <w:r>
        <w:rPr>
          <w:rFonts w:ascii="Times New Roman" w:hAnsi="Times New Roman"/>
          <w:color w:val="000000"/>
          <w:sz w:val="24"/>
        </w:rPr>
        <w:t>means, in respect of a particular Person, the possession, directly or indirectly, of the power to direct or cause the direction of the management or policies of such Person, whether through the ability to exercise voting power, by contract or otherwise. “</w:t>
      </w:r>
      <w:r>
        <w:rPr>
          <w:rFonts w:ascii="Times New Roman" w:hAnsi="Times New Roman"/>
          <w:i/>
          <w:color w:val="000000"/>
          <w:sz w:val="24"/>
        </w:rPr>
        <w:t>Controlling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i/>
          <w:color w:val="000000"/>
          <w:sz w:val="24"/>
        </w:rPr>
        <w:t>Controlled</w:t>
      </w:r>
      <w:r>
        <w:rPr>
          <w:rFonts w:ascii="Times New Roman" w:hAnsi="Times New Roman"/>
          <w:color w:val="000000"/>
          <w:sz w:val="20"/>
        </w:rPr>
        <w:t xml:space="preserve">” </w:t>
      </w:r>
      <w:r>
        <w:rPr>
          <w:rFonts w:ascii="Times New Roman" w:hAnsi="Times New Roman"/>
          <w:color w:val="000000"/>
          <w:sz w:val="24"/>
        </w:rPr>
        <w:t>have meanings correlative thereto.</w:t>
      </w:r>
    </w:p>
    <w:p>
      <w:pPr>
        <w:pStyle w:val="TextBody"/>
        <w:bidi w:val="0"/>
        <w:spacing w:before="200" w:after="283"/>
        <w:jc w:val="both"/>
        <w:rPr/>
      </w:pPr>
      <w:r>
        <w:rPr>
          <w:color w:val="000000"/>
        </w:rPr>
        <w:t>“</w:t>
      </w:r>
      <w:r>
        <w:rPr>
          <w:rFonts w:ascii="Times New Roman" w:hAnsi="Times New Roman"/>
          <w:i/>
          <w:color w:val="000000"/>
          <w:sz w:val="24"/>
        </w:rPr>
        <w:t>Controlled Account”</w:t>
      </w:r>
      <w:r>
        <w:rPr>
          <w:rFonts w:ascii="Times New Roman" w:hAnsi="Times New Roman"/>
          <w:color w:val="000000"/>
          <w:sz w:val="20"/>
        </w:rPr>
        <w:t xml:space="preserve"> </w:t>
      </w:r>
      <w:r>
        <w:rPr>
          <w:rFonts w:ascii="Times New Roman" w:hAnsi="Times New Roman"/>
          <w:color w:val="000000"/>
          <w:sz w:val="24"/>
        </w:rPr>
        <w:t>has the meaning set forth in Section 8.17(a).</w:t>
      </w:r>
    </w:p>
    <w:p>
      <w:pPr>
        <w:pStyle w:val="TextBody"/>
        <w:bidi w:val="0"/>
        <w:spacing w:before="200" w:after="283"/>
        <w:jc w:val="both"/>
        <w:rPr/>
      </w:pPr>
      <w:r>
        <w:rPr>
          <w:color w:val="000000"/>
        </w:rPr>
        <w:t>“</w:t>
      </w:r>
      <w:r>
        <w:rPr>
          <w:rFonts w:ascii="Times New Roman" w:hAnsi="Times New Roman"/>
          <w:i/>
          <w:color w:val="000000"/>
          <w:sz w:val="24"/>
        </w:rPr>
        <w:t>Copyrights”</w:t>
      </w:r>
      <w:r>
        <w:rPr>
          <w:rFonts w:ascii="Times New Roman" w:hAnsi="Times New Roman"/>
          <w:color w:val="000000"/>
          <w:sz w:val="20"/>
        </w:rPr>
        <w:t xml:space="preserve"> </w:t>
      </w:r>
      <w:r>
        <w:rPr>
          <w:rFonts w:ascii="Times New Roman" w:hAnsi="Times New Roman"/>
          <w:color w:val="000000"/>
          <w:sz w:val="24"/>
        </w:rPr>
        <w:t>has the meaning set forth in the Security Agreement.</w:t>
      </w:r>
    </w:p>
    <w:p>
      <w:pPr>
        <w:pStyle w:val="TextBody"/>
        <w:bidi w:val="0"/>
        <w:spacing w:before="200" w:after="283"/>
        <w:jc w:val="both"/>
        <w:rPr/>
      </w:pPr>
      <w:r>
        <w:rPr>
          <w:color w:val="000000"/>
        </w:rPr>
        <w:t>“</w:t>
      </w:r>
      <w:r>
        <w:rPr>
          <w:rFonts w:ascii="Times New Roman" w:hAnsi="Times New Roman"/>
          <w:i/>
          <w:color w:val="000000"/>
          <w:sz w:val="24"/>
        </w:rPr>
        <w:t>Daily Simple SOFR</w:t>
      </w:r>
      <w:r>
        <w:rPr>
          <w:rFonts w:ascii="Times New Roman" w:hAnsi="Times New Roman"/>
          <w:color w:val="000000"/>
          <w:sz w:val="20"/>
        </w:rPr>
        <w:t xml:space="preserve">” </w:t>
      </w:r>
      <w:r>
        <w:rPr>
          <w:rFonts w:ascii="Times New Roman" w:hAnsi="Times New Roman"/>
          <w:color w:val="000000"/>
          <w:sz w:val="24"/>
        </w:rPr>
        <w:t xml:space="preserve">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hAnsi="Times New Roman"/>
          <w:i/>
          <w:color w:val="000000"/>
          <w:sz w:val="24"/>
        </w:rPr>
        <w:t xml:space="preserve">provided </w:t>
      </w:r>
      <w:r>
        <w:rPr>
          <w:rFonts w:ascii="Times New Roman" w:hAnsi="Times New Roman"/>
          <w:color w:val="000000"/>
          <w:sz w:val="24"/>
        </w:rPr>
        <w:t xml:space="preserve">that, any SOFR determined pursuant to this sentence shall be utilized for purposes of calculation of Daily Simple SOFR for no more than three (3) consecutive SOFR Rate Days; </w:t>
      </w:r>
      <w:r>
        <w:rPr>
          <w:rFonts w:ascii="Times New Roman" w:hAnsi="Times New Roman"/>
          <w:i/>
          <w:color w:val="000000"/>
          <w:sz w:val="24"/>
        </w:rPr>
        <w:t>provided further</w:t>
      </w:r>
      <w:r>
        <w:rPr>
          <w:rFonts w:ascii="Times New Roman" w:hAnsi="Times New Roman"/>
          <w:color w:val="000000"/>
          <w:sz w:val="24"/>
        </w:rPr>
        <w:t>, Daily Simple SOFR shall be rounded upwards to the next 1/100% (if necessary). Any change in Daily Simple SOFR due to a change in SOFR shall be effective from and including the effective date of such change in SOFR without notice to the Borrower.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pPr>
      <w:r>
        <w:rPr>
          <w:color w:val="000000"/>
        </w:rPr>
        <w:t>“</w:t>
      </w:r>
      <w:r>
        <w:rPr>
          <w:rFonts w:ascii="Times New Roman" w:hAnsi="Times New Roman"/>
          <w:i/>
          <w:color w:val="000000"/>
          <w:sz w:val="24"/>
        </w:rPr>
        <w:t>Default”</w:t>
      </w:r>
      <w:r>
        <w:rPr>
          <w:rFonts w:ascii="Times New Roman" w:hAnsi="Times New Roman"/>
          <w:color w:val="000000"/>
          <w:sz w:val="20"/>
        </w:rPr>
        <w:t xml:space="preserve"> </w:t>
      </w:r>
      <w:r>
        <w:rPr>
          <w:rFonts w:ascii="Times New Roman" w:hAnsi="Times New Roman"/>
          <w:color w:val="000000"/>
          <w:sz w:val="24"/>
        </w:rPr>
        <w:t>means any Event of Default and any event that, upon the giving of notice, the lapse of time or both, would constitute an Event of Default.</w:t>
      </w:r>
    </w:p>
    <w:p>
      <w:pPr>
        <w:pStyle w:val="TextBody"/>
        <w:bidi w:val="0"/>
        <w:spacing w:before="200" w:after="283"/>
        <w:jc w:val="both"/>
        <w:rPr/>
      </w:pPr>
      <w:r>
        <w:rPr>
          <w:color w:val="000000"/>
        </w:rPr>
        <w:t>“</w:t>
      </w:r>
      <w:r>
        <w:rPr>
          <w:rFonts w:ascii="Times New Roman" w:hAnsi="Times New Roman"/>
          <w:i/>
          <w:color w:val="000000"/>
          <w:sz w:val="24"/>
        </w:rPr>
        <w:t>Default Rate”</w:t>
      </w:r>
      <w:r>
        <w:rPr>
          <w:rFonts w:ascii="Times New Roman" w:hAnsi="Times New Roman"/>
          <w:color w:val="000000"/>
          <w:sz w:val="20"/>
        </w:rPr>
        <w:t xml:space="preserve"> </w:t>
      </w:r>
      <w:r>
        <w:rPr>
          <w:rFonts w:ascii="Times New Roman" w:hAnsi="Times New Roman"/>
          <w:color w:val="000000"/>
          <w:sz w:val="24"/>
        </w:rPr>
        <w:t>has the meaning set forth in Section 3.02(d).</w:t>
      </w:r>
    </w:p>
    <w:p>
      <w:pPr>
        <w:pStyle w:val="TextBody"/>
        <w:bidi w:val="0"/>
        <w:spacing w:before="200" w:after="283"/>
        <w:jc w:val="both"/>
        <w:rPr/>
      </w:pPr>
      <w:r>
        <w:rPr>
          <w:color w:val="000000"/>
        </w:rPr>
        <w:t>“</w:t>
      </w:r>
      <w:r>
        <w:rPr>
          <w:rFonts w:ascii="Times New Roman" w:hAnsi="Times New Roman"/>
          <w:i/>
          <w:color w:val="000000"/>
          <w:sz w:val="24"/>
        </w:rPr>
        <w:t>Deposit Account”</w:t>
      </w:r>
      <w:r>
        <w:rPr>
          <w:rFonts w:ascii="Times New Roman" w:hAnsi="Times New Roman"/>
          <w:color w:val="000000"/>
          <w:sz w:val="20"/>
        </w:rPr>
        <w:t xml:space="preserve"> </w:t>
      </w:r>
      <w:r>
        <w:rPr>
          <w:rFonts w:ascii="Times New Roman" w:hAnsi="Times New Roman"/>
          <w:color w:val="000000"/>
          <w:sz w:val="24"/>
        </w:rPr>
        <w:t>has the meaning set forth in the Security Agreement.</w:t>
      </w:r>
    </w:p>
    <w:p>
      <w:pPr>
        <w:pStyle w:val="TextBody"/>
        <w:bidi w:val="0"/>
        <w:spacing w:before="200" w:after="283"/>
        <w:jc w:val="both"/>
        <w:rPr/>
      </w:pPr>
      <w:r>
        <w:rPr>
          <w:color w:val="000000"/>
        </w:rPr>
        <w:t>“</w:t>
      </w:r>
      <w:r>
        <w:rPr>
          <w:rFonts w:ascii="Times New Roman" w:hAnsi="Times New Roman"/>
          <w:i/>
          <w:color w:val="000000"/>
          <w:sz w:val="24"/>
        </w:rPr>
        <w:t>Designated Person”</w:t>
      </w:r>
      <w:r>
        <w:rPr>
          <w:rFonts w:ascii="Times New Roman" w:hAnsi="Times New Roman"/>
          <w:color w:val="000000"/>
          <w:sz w:val="20"/>
        </w:rPr>
        <w:t xml:space="preserve"> </w:t>
      </w:r>
      <w:r>
        <w:rPr>
          <w:rFonts w:ascii="Times New Roman" w:hAnsi="Times New Roman"/>
          <w:color w:val="000000"/>
          <w:sz w:val="24"/>
        </w:rPr>
        <w:t>means a person or entity:</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listed in the annex to, or otherwise targeted by the provisions of, the Executive Order (as disclosed by World</w:t>
        <w:noBreakHyphen/>
        <w:t>Check or another reputable commercially available database);</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named as a “Specially Designated National and Blocked Person” on the most current list published by OFAC at its official website or any replacement website or other replacement official publication of such list (as disclosed by World</w:t>
        <w:noBreakHyphen/>
        <w:t>Check or another reputable commercially available database); or</w:t>
      </w:r>
    </w:p>
    <w:p>
      <w:pPr>
        <w:pStyle w:val="TextBody"/>
        <w:bidi w:val="0"/>
        <w:spacing w:before="20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with which the Lenders are prohibited from dealing or otherwise engaging in any transaction by any Economic Sanctions Laws.</w:t>
      </w:r>
    </w:p>
    <w:p>
      <w:pPr>
        <w:pStyle w:val="TextBody"/>
        <w:bidi w:val="0"/>
        <w:spacing w:before="280" w:after="283"/>
        <w:jc w:val="both"/>
        <w:rPr/>
      </w:pPr>
      <w:r>
        <w:rPr>
          <w:color w:val="000000"/>
        </w:rPr>
        <w:t>“</w:t>
      </w:r>
      <w:r>
        <w:rPr>
          <w:rFonts w:ascii="Times New Roman" w:hAnsi="Times New Roman"/>
          <w:i/>
          <w:color w:val="000000"/>
          <w:sz w:val="24"/>
        </w:rPr>
        <w:t>Device”</w:t>
      </w:r>
      <w:r>
        <w:rPr>
          <w:rFonts w:ascii="Times New Roman" w:hAnsi="Times New Roman"/>
          <w:color w:val="000000"/>
          <w:sz w:val="20"/>
        </w:rPr>
        <w:t xml:space="preserve"> </w:t>
      </w:r>
      <w:r>
        <w:rPr>
          <w:rFonts w:ascii="Times New Roman" w:hAnsi="Times New Roman"/>
          <w:color w:val="000000"/>
          <w:sz w:val="24"/>
        </w:rPr>
        <w:t>means (a) any instrument, apparatus, implement, machine, contrivance, implant, in vitro reagent or other similar or related item, including any component, part or accessory, that (i) is intended for use in the diagnosis of disease or other conditions or in the cure, mitigation, treatment or prevention of disease, in man, or is intended to affect the structure or any function of the body of man, (ii) does not achieve its primary intended purpose or purposes through chemical action within or on the body of man and (iii) is not dependent upon being metabolized for the achievement of its primary intended purpose or purposes, (b) any other item that meets the definition of “device” as set forth in Section 201 of the FD&amp;C Act (21 U.S.C. § 321) and its implementing regulations, or (c) any other item that is regulated as a medical device by any applicable non U.S. Regulatory Authority.</w:t>
      </w:r>
    </w:p>
    <w:p>
      <w:pPr>
        <w:pStyle w:val="TextBody"/>
        <w:bidi w:val="0"/>
        <w:spacing w:before="280" w:after="283"/>
        <w:jc w:val="both"/>
        <w:rPr/>
      </w:pPr>
      <w:r>
        <w:rPr>
          <w:color w:val="000000"/>
        </w:rPr>
        <w:t>“</w:t>
      </w:r>
      <w:r>
        <w:rPr>
          <w:rFonts w:ascii="Times New Roman" w:hAnsi="Times New Roman"/>
          <w:i/>
          <w:color w:val="000000"/>
          <w:sz w:val="24"/>
        </w:rPr>
        <w:t>Device Clearance Application”</w:t>
      </w:r>
      <w:r>
        <w:rPr>
          <w:rFonts w:ascii="Times New Roman" w:hAnsi="Times New Roman"/>
          <w:color w:val="000000"/>
          <w:sz w:val="20"/>
        </w:rPr>
        <w:t xml:space="preserve"> </w:t>
      </w:r>
      <w:r>
        <w:rPr>
          <w:rFonts w:ascii="Times New Roman" w:hAnsi="Times New Roman"/>
          <w:color w:val="000000"/>
          <w:sz w:val="24"/>
        </w:rPr>
        <w:t>means (a) any premarket approval application submitted under Section 515 of the FD&amp;C Act (21 U.S.C. § 360e) (a “</w:t>
      </w:r>
      <w:r>
        <w:rPr>
          <w:rFonts w:ascii="Times New Roman" w:hAnsi="Times New Roman"/>
          <w:i/>
          <w:color w:val="000000"/>
          <w:sz w:val="24"/>
        </w:rPr>
        <w:t>Premarket Approval</w:t>
      </w:r>
      <w:r>
        <w:rPr>
          <w:rFonts w:ascii="Times New Roman" w:hAnsi="Times New Roman"/>
          <w:color w:val="000000"/>
          <w:sz w:val="20"/>
        </w:rPr>
        <w:t>”</w:t>
      </w:r>
      <w:r>
        <w:rPr>
          <w:rFonts w:ascii="Times New Roman" w:hAnsi="Times New Roman"/>
          <w:color w:val="000000"/>
          <w:sz w:val="24"/>
        </w:rPr>
        <w:t>), (b) any de novo request submitted under Section 513(f) of the FD&amp;C Act (21 U.S.C. § 360c(f)), (c) any 510(k) submitted under Section 510(k) of the FD&amp;C Act (21 U.S.C. § 360(k)) seeking clearance from the FDA for a Device that is substantially equivalent to a legally marketed predicate Device, as defined in the FD&amp;C Act, (d) any Investigational Device Exemption as defined in the FD&amp;C Act, (e) any corresponding or substantially equivalent notification, application or clearance of a non</w:t>
        <w:noBreakHyphen/>
        <w:t>U.S. Regulatory Authority including, with respect to the European Union, any equivalent submission to a Standard Body pursuant to an applicable directive of the European Council with respect to CE marking (or, if applicable, a self</w:t>
        <w:noBreakHyphen/>
        <w:t>certification of conformity with respect to any such directive through a “declaration of conformity”), and (f) all amendments, variations, extensions and renewals of any of the foregoing.</w:t>
      </w:r>
    </w:p>
    <w:p>
      <w:pPr>
        <w:pStyle w:val="TextBody"/>
        <w:bidi w:val="0"/>
        <w:spacing w:before="280" w:after="283"/>
        <w:jc w:val="both"/>
        <w:rPr/>
      </w:pPr>
      <w:r>
        <w:rPr>
          <w:color w:val="000000"/>
        </w:rPr>
        <w:t>“</w:t>
      </w:r>
      <w:r>
        <w:rPr>
          <w:rFonts w:ascii="Times New Roman" w:hAnsi="Times New Roman"/>
          <w:i/>
          <w:color w:val="000000"/>
          <w:sz w:val="24"/>
        </w:rPr>
        <w:t>Disqualified Equity Interests”</w:t>
      </w:r>
      <w:r>
        <w:rPr>
          <w:rFonts w:ascii="Times New Roman" w:hAnsi="Times New Roman"/>
          <w:color w:val="000000"/>
          <w:sz w:val="20"/>
        </w:rPr>
        <w:t xml:space="preserve"> </w:t>
      </w:r>
      <w:r>
        <w:rPr>
          <w:rFonts w:ascii="Times New Roman" w:hAnsi="Times New Roman"/>
          <w:color w:val="000000"/>
          <w:sz w:val="24"/>
        </w:rPr>
        <w:t>means, with respect to any Person, any Equity Interest of such Person that, by its terms (or by the terms of any security or other Equity Interest into which it is convertible or for which it is exchangeable upon exercise or otherwise), or upon the happening of any event or condition (a) matures or is mandatorily redeemable (other than solely for Qualified Equity Interests), including pursuant to a sinking fund obligation or otherwise, (b) is redeemable at the option of the holder thereof (other than solely for Qualified Equity Interests), in whole or in part, (c) provides for the scheduled payments of dividends or other distributions in cash or other securities that would constitute Disqualified Equity Interests, or (d) is or becomes convertible into or exchangeable for Indebtedness or any other Equity Interests that would constitute Disqualified Equity Interests, in each</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case, prior to the date that is one hundred and eighty (180) days after the Stated Maturity Date;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pStyle w:val="TextBody"/>
        <w:bidi w:val="0"/>
        <w:spacing w:before="280" w:after="283"/>
        <w:jc w:val="both"/>
        <w:rPr/>
      </w:pPr>
      <w:r>
        <w:rPr>
          <w:color w:val="000000"/>
        </w:rPr>
        <w:t>“</w:t>
      </w:r>
      <w:r>
        <w:rPr>
          <w:rFonts w:ascii="Times New Roman" w:hAnsi="Times New Roman"/>
          <w:i/>
          <w:color w:val="000000"/>
          <w:sz w:val="24"/>
        </w:rPr>
        <w:t>Dollars”</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0"/>
        </w:rPr>
        <w:t>“</w:t>
      </w:r>
      <w:r>
        <w:rPr>
          <w:rFonts w:ascii="Times New Roman" w:hAnsi="Times New Roman"/>
          <w:i/>
          <w:color w:val="000000"/>
          <w:sz w:val="24"/>
        </w:rPr>
        <w:t>$”</w:t>
      </w:r>
      <w:r>
        <w:rPr>
          <w:rFonts w:ascii="Times New Roman" w:hAnsi="Times New Roman"/>
          <w:color w:val="000000"/>
          <w:sz w:val="24"/>
        </w:rPr>
        <w:t>means lawful money of the United States of America.</w:t>
      </w:r>
    </w:p>
    <w:p>
      <w:pPr>
        <w:pStyle w:val="TextBody"/>
        <w:bidi w:val="0"/>
        <w:spacing w:before="280" w:after="283"/>
        <w:jc w:val="both"/>
        <w:rPr/>
      </w:pPr>
      <w:r>
        <w:rPr>
          <w:color w:val="000000"/>
        </w:rPr>
        <w:t>“</w:t>
      </w:r>
      <w:r>
        <w:rPr>
          <w:rFonts w:ascii="Times New Roman" w:hAnsi="Times New Roman"/>
          <w:i/>
          <w:color w:val="000000"/>
          <w:sz w:val="24"/>
        </w:rPr>
        <w:t xml:space="preserve">Domestic Subsidiary” </w:t>
      </w:r>
      <w:r>
        <w:rPr>
          <w:rFonts w:ascii="Times New Roman" w:hAnsi="Times New Roman"/>
          <w:color w:val="000000"/>
          <w:sz w:val="24"/>
        </w:rPr>
        <w:t>means any Subsidiary that is organized under the laws of the United States, any state thereof or the District of Columbia.</w:t>
      </w:r>
    </w:p>
    <w:p>
      <w:pPr>
        <w:pStyle w:val="TextBody"/>
        <w:bidi w:val="0"/>
        <w:spacing w:before="280" w:after="283"/>
        <w:jc w:val="both"/>
        <w:rPr/>
      </w:pPr>
      <w:r>
        <w:rPr>
          <w:color w:val="000000"/>
        </w:rPr>
        <w:t>“</w:t>
      </w:r>
      <w:r>
        <w:rPr>
          <w:rFonts w:ascii="Times New Roman" w:hAnsi="Times New Roman"/>
          <w:i/>
          <w:color w:val="000000"/>
          <w:sz w:val="24"/>
        </w:rPr>
        <w:t>Economic Sanctions Laws”</w:t>
      </w:r>
      <w:r>
        <w:rPr>
          <w:rFonts w:ascii="Times New Roman" w:hAnsi="Times New Roman"/>
          <w:color w:val="000000"/>
          <w:sz w:val="20"/>
        </w:rPr>
        <w:t xml:space="preserve"> </w:t>
      </w:r>
      <w:r>
        <w:rPr>
          <w:rFonts w:ascii="Times New Roman" w:hAnsi="Times New Roman"/>
          <w:color w:val="000000"/>
          <w:sz w:val="24"/>
        </w:rPr>
        <w:t xml:space="preserve">means: (a) the Executive Order, the </w:t>
      </w:r>
      <w:r>
        <w:rPr>
          <w:rFonts w:ascii="Times New Roman" w:hAnsi="Times New Roman"/>
          <w:i/>
          <w:color w:val="000000"/>
          <w:sz w:val="24"/>
        </w:rPr>
        <w:t>International Emergency Economic Powers Act</w:t>
      </w:r>
      <w:r>
        <w:rPr>
          <w:rFonts w:ascii="Times New Roman" w:hAnsi="Times New Roman"/>
          <w:color w:val="000000"/>
          <w:sz w:val="20"/>
        </w:rPr>
        <w:t xml:space="preserve"> </w:t>
      </w:r>
      <w:r>
        <w:rPr>
          <w:rFonts w:ascii="Times New Roman" w:hAnsi="Times New Roman"/>
          <w:color w:val="000000"/>
          <w:sz w:val="24"/>
        </w:rPr>
        <w:t xml:space="preserve">(50 U.S.C. §§ 1701 </w:t>
      </w:r>
      <w:r>
        <w:rPr>
          <w:rFonts w:ascii="Times New Roman" w:hAnsi="Times New Roman"/>
          <w:i/>
          <w:color w:val="000000"/>
          <w:sz w:val="24"/>
        </w:rPr>
        <w:t>et seq.</w:t>
      </w:r>
      <w:r>
        <w:rPr>
          <w:rFonts w:ascii="Times New Roman" w:hAnsi="Times New Roman"/>
          <w:color w:val="000000"/>
          <w:sz w:val="24"/>
        </w:rPr>
        <w:t xml:space="preserve">), the </w:t>
      </w:r>
      <w:r>
        <w:rPr>
          <w:rFonts w:ascii="Times New Roman" w:hAnsi="Times New Roman"/>
          <w:i/>
          <w:color w:val="000000"/>
          <w:sz w:val="24"/>
        </w:rPr>
        <w:t>Trading with the Enemy Act</w:t>
      </w:r>
      <w:r>
        <w:rPr>
          <w:rFonts w:ascii="Times New Roman" w:hAnsi="Times New Roman"/>
          <w:color w:val="000000"/>
          <w:sz w:val="20"/>
        </w:rPr>
        <w:t xml:space="preserve"> </w:t>
      </w:r>
      <w:r>
        <w:rPr>
          <w:rFonts w:ascii="Times New Roman" w:hAnsi="Times New Roman"/>
          <w:color w:val="000000"/>
          <w:sz w:val="24"/>
        </w:rPr>
        <w:t xml:space="preserve">(50 U.S.C. App. §§ 1 </w:t>
      </w:r>
      <w:r>
        <w:rPr>
          <w:rFonts w:ascii="Times New Roman" w:hAnsi="Times New Roman"/>
          <w:i/>
          <w:color w:val="000000"/>
          <w:sz w:val="24"/>
        </w:rPr>
        <w:t>et seq.</w:t>
      </w:r>
      <w:r>
        <w:rPr>
          <w:rFonts w:ascii="Times New Roman" w:hAnsi="Times New Roman"/>
          <w:color w:val="000000"/>
          <w:sz w:val="24"/>
        </w:rPr>
        <w:t>), any other law or regulation promulgated thereunder from time to time and administered by OFAC and any similar law enacted in the United States after the date of this Agreement; and (b) any other similar applicable law now or hereafter enacted in any other applicable jurisdiction.</w:t>
      </w:r>
    </w:p>
    <w:p>
      <w:pPr>
        <w:pStyle w:val="TextBody"/>
        <w:bidi w:val="0"/>
        <w:spacing w:before="280" w:after="283"/>
        <w:jc w:val="both"/>
        <w:rPr/>
      </w:pPr>
      <w:r>
        <w:rPr>
          <w:color w:val="000000"/>
        </w:rPr>
        <w:t>“</w:t>
      </w:r>
      <w:r>
        <w:rPr>
          <w:rFonts w:ascii="Times New Roman" w:hAnsi="Times New Roman"/>
          <w:i/>
          <w:color w:val="000000"/>
          <w:sz w:val="24"/>
        </w:rPr>
        <w:t>Environmental Law”</w:t>
      </w:r>
      <w:r>
        <w:rPr>
          <w:rFonts w:ascii="Times New Roman" w:hAnsi="Times New Roman"/>
          <w:color w:val="000000"/>
          <w:sz w:val="20"/>
        </w:rPr>
        <w:t xml:space="preserve"> </w:t>
      </w:r>
      <w:r>
        <w:rPr>
          <w:rFonts w:ascii="Times New Roman" w:hAnsi="Times New Roman"/>
          <w:color w:val="000000"/>
          <w:sz w:val="24"/>
        </w:rPr>
        <w:t>means any federal, state, provincial or local governmental law, rule, regulation, order, writ, 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w:t>
      </w:r>
    </w:p>
    <w:p>
      <w:pPr>
        <w:pStyle w:val="TextBody"/>
        <w:bidi w:val="0"/>
        <w:spacing w:before="280" w:after="283"/>
        <w:jc w:val="both"/>
        <w:rPr/>
      </w:pPr>
      <w:r>
        <w:rPr>
          <w:color w:val="000000"/>
        </w:rPr>
        <w:t>“</w:t>
      </w:r>
      <w:r>
        <w:rPr>
          <w:rFonts w:ascii="Times New Roman" w:hAnsi="Times New Roman"/>
          <w:i/>
          <w:color w:val="000000"/>
          <w:sz w:val="24"/>
        </w:rPr>
        <w:t>Equity Interest”</w:t>
      </w:r>
      <w:r>
        <w:rPr>
          <w:rFonts w:ascii="Times New Roman" w:hAnsi="Times New Roman"/>
          <w:color w:val="000000"/>
          <w:sz w:val="20"/>
        </w:rPr>
        <w:t xml:space="preserve"> </w:t>
      </w:r>
      <w:r>
        <w:rPr>
          <w:rFonts w:ascii="Times New Roman" w:hAnsi="Times New Roman"/>
          <w:color w:val="000000"/>
          <w:sz w:val="24"/>
        </w:rPr>
        <w:t>means,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pStyle w:val="TextBody"/>
        <w:bidi w:val="0"/>
        <w:spacing w:before="280" w:after="283"/>
        <w:jc w:val="both"/>
        <w:rPr/>
      </w:pPr>
      <w:r>
        <w:rPr>
          <w:color w:val="000000"/>
        </w:rPr>
        <w:t>“</w:t>
      </w:r>
      <w:r>
        <w:rPr>
          <w:rFonts w:ascii="Times New Roman" w:hAnsi="Times New Roman"/>
          <w:i/>
          <w:color w:val="000000"/>
          <w:sz w:val="24"/>
        </w:rPr>
        <w:t>ERISA”</w:t>
      </w:r>
      <w:r>
        <w:rPr>
          <w:rFonts w:ascii="Times New Roman" w:hAnsi="Times New Roman"/>
          <w:color w:val="000000"/>
          <w:sz w:val="20"/>
        </w:rPr>
        <w:t xml:space="preserve"> </w:t>
      </w:r>
      <w:r>
        <w:rPr>
          <w:rFonts w:ascii="Times New Roman" w:hAnsi="Times New Roman"/>
          <w:color w:val="000000"/>
          <w:sz w:val="24"/>
        </w:rPr>
        <w:t>means the United States Employee Retirement Income Security Act of 1974, as amended.</w:t>
      </w:r>
    </w:p>
    <w:p>
      <w:pPr>
        <w:pStyle w:val="TextBody"/>
        <w:bidi w:val="0"/>
        <w:spacing w:before="280" w:after="283"/>
        <w:jc w:val="both"/>
        <w:rPr/>
      </w:pPr>
      <w:r>
        <w:rPr>
          <w:color w:val="000000"/>
        </w:rPr>
        <w:t>“</w:t>
      </w:r>
      <w:r>
        <w:rPr>
          <w:rFonts w:ascii="Times New Roman" w:hAnsi="Times New Roman"/>
          <w:i/>
          <w:color w:val="000000"/>
          <w:sz w:val="24"/>
        </w:rPr>
        <w:t>ERISA Affiliate”</w:t>
      </w:r>
      <w:r>
        <w:rPr>
          <w:rFonts w:ascii="Times New Roman" w:hAnsi="Times New Roman"/>
          <w:color w:val="000000"/>
          <w:sz w:val="20"/>
        </w:rPr>
        <w:t xml:space="preserve"> </w:t>
      </w:r>
      <w:r>
        <w:rPr>
          <w:rFonts w:ascii="Times New Roman" w:hAnsi="Times New Roman"/>
          <w:color w:val="000000"/>
          <w:sz w:val="24"/>
        </w:rPr>
        <w:t>means any Person that, as of the relevant time, would be considered a single employer with an Obligor pursuant to Section 414(b), (c), (m) or (o) of the Code.</w:t>
      </w:r>
    </w:p>
    <w:p>
      <w:pPr>
        <w:pStyle w:val="TextBody"/>
        <w:bidi w:val="0"/>
        <w:spacing w:before="280" w:after="283"/>
        <w:jc w:val="both"/>
        <w:rPr/>
      </w:pPr>
      <w:r>
        <w:rPr>
          <w:color w:val="000000"/>
        </w:rPr>
        <w:t>“</w:t>
      </w:r>
      <w:r>
        <w:rPr>
          <w:rFonts w:ascii="Times New Roman" w:hAnsi="Times New Roman"/>
          <w:i/>
          <w:color w:val="000000"/>
          <w:sz w:val="24"/>
        </w:rPr>
        <w:t>ERISA Event”</w:t>
      </w:r>
      <w:r>
        <w:rPr>
          <w:rFonts w:ascii="Times New Roman" w:hAnsi="Times New Roman"/>
          <w:color w:val="000000"/>
          <w:sz w:val="20"/>
        </w:rPr>
        <w:t xml:space="preserve"> </w:t>
      </w:r>
      <w:r>
        <w:rPr>
          <w:rFonts w:ascii="Times New Roman" w:hAnsi="Times New Roman"/>
          <w:color w:val="000000"/>
          <w:sz w:val="24"/>
        </w:rPr>
        <w:t>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 (c) 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 (d) with respect to a Title IV Plan or Multiemployer Plan, as applicable, the filing of a notice of intent to terminate, the treatment of a plan amendment as a termination under Section 4041 or 4041A of ERISA, or the commencement of</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proceedings by the PBGC to terminate such plan; (e) the failure by any Obligor or an ERISA Affiliate thereof to make any required contribution to a Multiemployer Plan, or to meet the minimum funding standard of Section 412 of the Code with respect to any Title IV Plan or the failure to make by its due date a required installment under Section 430 of the Code with respect to any Title IV Plan; (f) the determination that any Title IV Plan is in “at</w:t>
        <w:noBreakHyphen/>
        <w: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w:t>
      </w:r>
    </w:p>
    <w:p>
      <w:pPr>
        <w:pStyle w:val="TextBody"/>
        <w:bidi w:val="0"/>
        <w:spacing w:before="280" w:after="283"/>
        <w:jc w:val="both"/>
        <w:rPr/>
      </w:pPr>
      <w:r>
        <w:rPr>
          <w:color w:val="000000"/>
        </w:rPr>
        <w:t>“</w:t>
      </w:r>
      <w:r>
        <w:rPr>
          <w:rFonts w:ascii="Times New Roman" w:hAnsi="Times New Roman"/>
          <w:i/>
          <w:color w:val="000000"/>
          <w:sz w:val="24"/>
        </w:rPr>
        <w:t>Event of Default”</w:t>
      </w:r>
      <w:r>
        <w:rPr>
          <w:rFonts w:ascii="Times New Roman" w:hAnsi="Times New Roman"/>
          <w:color w:val="000000"/>
          <w:sz w:val="20"/>
        </w:rPr>
        <w:t xml:space="preserve"> </w:t>
      </w:r>
      <w:r>
        <w:rPr>
          <w:rFonts w:ascii="Times New Roman" w:hAnsi="Times New Roman"/>
          <w:color w:val="000000"/>
          <w:sz w:val="24"/>
        </w:rPr>
        <w:t>has the meaning set forth in Section 10.01.</w:t>
      </w:r>
    </w:p>
    <w:p>
      <w:pPr>
        <w:pStyle w:val="TextBody"/>
        <w:bidi w:val="0"/>
        <w:spacing w:before="280" w:after="283"/>
        <w:jc w:val="both"/>
        <w:rPr/>
      </w:pPr>
      <w:r>
        <w:rPr>
          <w:color w:val="000000"/>
        </w:rPr>
        <w:t>“</w:t>
      </w:r>
      <w:r>
        <w:rPr>
          <w:rFonts w:ascii="Times New Roman" w:hAnsi="Times New Roman"/>
          <w:i/>
          <w:color w:val="000000"/>
          <w:sz w:val="24"/>
        </w:rPr>
        <w:t>Excess Funding Guarantor”</w:t>
      </w:r>
      <w:r>
        <w:rPr>
          <w:rFonts w:ascii="Times New Roman" w:hAnsi="Times New Roman"/>
          <w:color w:val="000000"/>
          <w:sz w:val="20"/>
        </w:rPr>
        <w:t xml:space="preserve"> </w:t>
      </w:r>
      <w:r>
        <w:rPr>
          <w:rFonts w:ascii="Times New Roman" w:hAnsi="Times New Roman"/>
          <w:color w:val="000000"/>
          <w:sz w:val="24"/>
        </w:rPr>
        <w:t>has the meaning set forth in Section 11.08.</w:t>
      </w:r>
    </w:p>
    <w:p>
      <w:pPr>
        <w:pStyle w:val="TextBody"/>
        <w:bidi w:val="0"/>
        <w:spacing w:before="280" w:after="283"/>
        <w:jc w:val="both"/>
        <w:rPr/>
      </w:pPr>
      <w:r>
        <w:rPr>
          <w:color w:val="000000"/>
        </w:rPr>
        <w:t>“</w:t>
      </w:r>
      <w:r>
        <w:rPr>
          <w:rFonts w:ascii="Times New Roman" w:hAnsi="Times New Roman"/>
          <w:i/>
          <w:color w:val="000000"/>
          <w:sz w:val="24"/>
        </w:rPr>
        <w:t>Excess Payment”</w:t>
      </w:r>
      <w:r>
        <w:rPr>
          <w:rFonts w:ascii="Times New Roman" w:hAnsi="Times New Roman"/>
          <w:color w:val="000000"/>
          <w:sz w:val="20"/>
        </w:rPr>
        <w:t xml:space="preserve"> </w:t>
      </w:r>
      <w:r>
        <w:rPr>
          <w:rFonts w:ascii="Times New Roman" w:hAnsi="Times New Roman"/>
          <w:color w:val="000000"/>
          <w:sz w:val="24"/>
        </w:rPr>
        <w:t>has the meaning set forth in Section 11.08.</w:t>
      </w:r>
    </w:p>
    <w:p>
      <w:pPr>
        <w:pStyle w:val="TextBody"/>
        <w:bidi w:val="0"/>
        <w:spacing w:before="280" w:after="283"/>
        <w:jc w:val="both"/>
        <w:rPr/>
      </w:pPr>
      <w:r>
        <w:rPr>
          <w:color w:val="000000"/>
        </w:rPr>
        <w:t>“</w:t>
      </w:r>
      <w:r>
        <w:rPr>
          <w:rFonts w:ascii="Times New Roman" w:hAnsi="Times New Roman"/>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280" w:after="283"/>
        <w:jc w:val="both"/>
        <w:rPr/>
      </w:pPr>
      <w:r>
        <w:rPr>
          <w:color w:val="000000"/>
        </w:rPr>
        <w:t>“</w:t>
      </w:r>
      <w:r>
        <w:rPr>
          <w:rFonts w:ascii="Times New Roman" w:hAnsi="Times New Roman"/>
          <w:i/>
          <w:color w:val="000000"/>
          <w:sz w:val="24"/>
        </w:rPr>
        <w:t>Excluded Accounts”</w:t>
      </w:r>
      <w:r>
        <w:rPr>
          <w:rFonts w:ascii="Times New Roman" w:hAnsi="Times New Roman"/>
          <w:color w:val="000000"/>
          <w:sz w:val="20"/>
        </w:rPr>
        <w:t xml:space="preserve"> </w:t>
      </w:r>
      <w:r>
        <w:rPr>
          <w:rFonts w:ascii="Times New Roman" w:hAnsi="Times New Roman"/>
          <w:color w:val="000000"/>
          <w:sz w:val="24"/>
        </w:rPr>
        <w:t>means Deposit Accounts exclusively used for payroll, payroll Taxes and other employee wage and benefit payments to or for the benefit of the employees of the Borrower and its Subsidiaries.</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Excluded Taxes”</w:t>
      </w:r>
      <w:r>
        <w:rPr>
          <w:rFonts w:ascii="Times New Roman" w:hAnsi="Times New Roman"/>
          <w:color w:val="000000"/>
          <w:sz w:val="20"/>
        </w:rPr>
        <w:t xml:space="preserve"> </w:t>
      </w:r>
      <w:r>
        <w:rPr>
          <w:rFonts w:ascii="Times New Roman" w:hAnsi="Times New Roman"/>
          <w:color w:val="000000"/>
          <w:sz w:val="24"/>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a Lender to the extent that the obligation to withhold amounts existed on the date that (i) a Lender became a “Lender” under this Agreement or (ii) a Lender changes its lending office, except in each case to the extent such Lender is a direct or indirect assignee of any other Lender that was entitled, at the time the assignment of such other Lender became effective, to receive additional amounts under Section 5.03 or such Lender was entitled to receive additional amounts under Section 5.03 immediately before it changed its lending office, (c) any Taxes imposed in connection with FATCA, and (d) Taxes attributable to such Recipient’s failure to comply with Section 5.03(e).</w:t>
      </w:r>
    </w:p>
    <w:p>
      <w:pPr>
        <w:pStyle w:val="TextBody"/>
        <w:bidi w:val="0"/>
        <w:spacing w:before="280" w:after="283"/>
        <w:jc w:val="both"/>
        <w:rPr/>
      </w:pPr>
      <w:r>
        <w:rPr>
          <w:color w:val="000000"/>
        </w:rPr>
        <w:t>“</w:t>
      </w:r>
      <w:r>
        <w:rPr>
          <w:rFonts w:ascii="Times New Roman" w:hAnsi="Times New Roman"/>
          <w:i/>
          <w:color w:val="000000"/>
          <w:sz w:val="24"/>
        </w:rPr>
        <w:t>Executive Order”</w:t>
      </w:r>
      <w:r>
        <w:rPr>
          <w:rFonts w:ascii="Times New Roman" w:hAnsi="Times New Roman"/>
          <w:color w:val="000000"/>
          <w:sz w:val="20"/>
        </w:rPr>
        <w:t xml:space="preserve"> </w:t>
      </w:r>
      <w:r>
        <w:rPr>
          <w:rFonts w:ascii="Times New Roman" w:hAnsi="Times New Roman"/>
          <w:color w:val="000000"/>
          <w:sz w:val="24"/>
        </w:rPr>
        <w:t>means the US Executive Order No. 13224 on Blocking Property and Prohibiting Transactions with Persons who commit, Threaten to Commit, or Support Terrorism.</w:t>
      </w:r>
    </w:p>
    <w:p>
      <w:pPr>
        <w:pStyle w:val="TextBody"/>
        <w:bidi w:val="0"/>
        <w:spacing w:before="280" w:after="283"/>
        <w:jc w:val="both"/>
        <w:rPr/>
      </w:pPr>
      <w:r>
        <w:rPr>
          <w:color w:val="000000"/>
        </w:rPr>
        <w:t>“</w:t>
      </w:r>
      <w:r>
        <w:rPr>
          <w:rFonts w:ascii="Times New Roman" w:hAnsi="Times New Roman"/>
          <w:i/>
          <w:color w:val="000000"/>
          <w:sz w:val="24"/>
        </w:rPr>
        <w:t xml:space="preserve">Existing Credit Documents” </w:t>
      </w:r>
      <w:r>
        <w:rPr>
          <w:rFonts w:ascii="Times New Roman" w:hAnsi="Times New Roman"/>
          <w:color w:val="000000"/>
          <w:sz w:val="24"/>
        </w:rPr>
        <w:t>means the Existing Credit Facility and any other document, instrument, agreement or certificate delivered in connection with the Existing Credit Facility.</w:t>
      </w:r>
    </w:p>
    <w:p>
      <w:pPr>
        <w:pStyle w:val="TextBody"/>
        <w:bidi w:val="0"/>
        <w:jc w:val="left"/>
        <w:rPr/>
      </w:pPr>
      <w:r>
        <w:rPr/>
        <w:t> </w:t>
      </w:r>
    </w:p>
    <w:p>
      <w:pPr>
        <w:pStyle w:val="TextBody"/>
        <w:bidi w:val="0"/>
        <w:jc w:val="both"/>
        <w:rPr/>
      </w:pPr>
      <w:r>
        <w:rPr>
          <w:color w:val="000000"/>
        </w:rPr>
        <w:t>“</w:t>
      </w:r>
      <w:r>
        <w:rPr>
          <w:rFonts w:ascii="Times New Roman" w:hAnsi="Times New Roman"/>
          <w:i/>
          <w:color w:val="000000"/>
          <w:sz w:val="24"/>
        </w:rPr>
        <w:t>Existing Credit Facility”</w:t>
      </w:r>
      <w:r>
        <w:rPr>
          <w:rFonts w:ascii="Times New Roman" w:hAnsi="Times New Roman"/>
          <w:color w:val="000000"/>
          <w:sz w:val="20"/>
        </w:rPr>
        <w:t xml:space="preserve"> </w:t>
      </w:r>
      <w:r>
        <w:rPr>
          <w:rFonts w:ascii="Times New Roman" w:hAnsi="Times New Roman"/>
          <w:color w:val="000000"/>
          <w:sz w:val="24"/>
        </w:rPr>
        <w:t>means that certain Credit Agreement, dated as of October 18, 2023 (as amended by that certain Waiver and First Amendment to Credit Agreement, dated as of November 30, 2023, as amended by that certain Second Amendment to Credit Agreement, dated as of May 28, 2024, as amended by that certain Third Amendment to Credit Agreement, dated as of November 7, 2024,</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as amended by that certain Fourth Amendment to Credit Agreement, dated as of February 13, 2025, as modified by that certain Waiver, effective as of March 31, 2025, as modified by that certain Waiver, effective as of June 30, 2025, as amended by that certain Waiver and Fifth Amendment to Credit Agreement, dated as of August 7, 2025, as modified by that certain Waiver, effective as of September 30, 2025, as amended by that certain Waiver and Sixth Amendment to Credit Agreement, dated as of November 5, 2025) by and among the Borrower, the lenders party thereto, and ORCO IV LLC.</w:t>
      </w:r>
    </w:p>
    <w:p>
      <w:pPr>
        <w:pStyle w:val="TextBody"/>
        <w:bidi w:val="0"/>
        <w:spacing w:before="280" w:after="283"/>
        <w:jc w:val="both"/>
        <w:rPr/>
      </w:pPr>
      <w:r>
        <w:rPr>
          <w:color w:val="000000"/>
        </w:rPr>
        <w:t>“</w:t>
      </w:r>
      <w:r>
        <w:rPr>
          <w:rFonts w:ascii="Times New Roman" w:hAnsi="Times New Roman"/>
          <w:i/>
          <w:color w:val="000000"/>
          <w:sz w:val="24"/>
        </w:rPr>
        <w:t>Exit Fee</w:t>
      </w:r>
      <w:r>
        <w:rPr>
          <w:rFonts w:ascii="Times New Roman" w:hAnsi="Times New Roman"/>
          <w:color w:val="000000"/>
          <w:sz w:val="20"/>
        </w:rPr>
        <w:t xml:space="preserve">” </w:t>
      </w:r>
      <w:r>
        <w:rPr>
          <w:rFonts w:ascii="Times New Roman" w:hAnsi="Times New Roman"/>
          <w:color w:val="000000"/>
          <w:sz w:val="24"/>
        </w:rPr>
        <w:t>has the meaning set forth in the Fee Letter.</w:t>
      </w:r>
    </w:p>
    <w:p>
      <w:pPr>
        <w:pStyle w:val="TextBody"/>
        <w:bidi w:val="0"/>
        <w:spacing w:before="280" w:after="283"/>
        <w:jc w:val="both"/>
        <w:rPr/>
      </w:pPr>
      <w:r>
        <w:rPr>
          <w:color w:val="000000"/>
        </w:rPr>
        <w:t>“</w:t>
      </w:r>
      <w:r>
        <w:rPr>
          <w:rFonts w:ascii="Times New Roman" w:hAnsi="Times New Roman"/>
          <w:i/>
          <w:color w:val="000000"/>
          <w:sz w:val="24"/>
        </w:rPr>
        <w:t>Expense Deposit”</w:t>
      </w:r>
      <w:r>
        <w:rPr>
          <w:rFonts w:ascii="Times New Roman" w:hAnsi="Times New Roman"/>
          <w:color w:val="000000"/>
          <w:sz w:val="20"/>
        </w:rPr>
        <w:t xml:space="preserve"> </w:t>
      </w:r>
      <w:r>
        <w:rPr>
          <w:rFonts w:ascii="Times New Roman" w:hAnsi="Times New Roman"/>
          <w:color w:val="000000"/>
          <w:sz w:val="24"/>
        </w:rPr>
        <w:t>means the deposit made by the Borrower to an Affiliate of Perceptive Advisors LLC pursuant to the Proposal Letter for the prepayment of the Lenders’ costs and expenses (payable pursuant to Section 13.03(a) and/or the Proposal Letter) incurred prior to the Closing Date.</w:t>
      </w:r>
    </w:p>
    <w:p>
      <w:pPr>
        <w:pStyle w:val="TextBody"/>
        <w:bidi w:val="0"/>
        <w:spacing w:before="280" w:after="283"/>
        <w:jc w:val="both"/>
        <w:rPr/>
      </w:pPr>
      <w:r>
        <w:rPr>
          <w:color w:val="000000"/>
        </w:rPr>
        <w:t>“</w:t>
      </w:r>
      <w:r>
        <w:rPr>
          <w:rFonts w:ascii="Times New Roman" w:hAnsi="Times New Roman"/>
          <w:i/>
          <w:color w:val="000000"/>
          <w:sz w:val="24"/>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before="280" w:after="283"/>
        <w:jc w:val="both"/>
        <w:rPr/>
      </w:pPr>
      <w:r>
        <w:rPr>
          <w:color w:val="000000"/>
        </w:rPr>
        <w:t>“</w:t>
      </w:r>
      <w:r>
        <w:rPr>
          <w:rFonts w:ascii="Times New Roman" w:hAnsi="Times New Roman"/>
          <w:i/>
          <w:color w:val="000000"/>
          <w:sz w:val="24"/>
        </w:rPr>
        <w:t>FD&amp;C Act”</w:t>
      </w:r>
      <w:r>
        <w:rPr>
          <w:rFonts w:ascii="Times New Roman" w:hAnsi="Times New Roman"/>
          <w:color w:val="000000"/>
          <w:sz w:val="20"/>
        </w:rPr>
        <w:t xml:space="preserve"> </w:t>
      </w:r>
      <w:r>
        <w:rPr>
          <w:rFonts w:ascii="Times New Roman" w:hAnsi="Times New Roman"/>
          <w:color w:val="000000"/>
          <w:sz w:val="24"/>
        </w:rPr>
        <w:t>means the U.S. Food, Drug and Cosmetic Act of 1938 (or any successor thereto), as amended from time to time.</w:t>
      </w:r>
    </w:p>
    <w:p>
      <w:pPr>
        <w:pStyle w:val="TextBody"/>
        <w:bidi w:val="0"/>
        <w:spacing w:before="280" w:after="283"/>
        <w:jc w:val="both"/>
        <w:rPr/>
      </w:pPr>
      <w:r>
        <w:rPr>
          <w:color w:val="000000"/>
        </w:rPr>
        <w:t>“</w:t>
      </w:r>
      <w:r>
        <w:rPr>
          <w:rFonts w:ascii="Times New Roman" w:hAnsi="Times New Roman"/>
          <w:i/>
          <w:color w:val="000000"/>
          <w:sz w:val="24"/>
        </w:rPr>
        <w:t>FDA”</w:t>
      </w:r>
      <w:r>
        <w:rPr>
          <w:rFonts w:ascii="Times New Roman" w:hAnsi="Times New Roman"/>
          <w:color w:val="000000"/>
          <w:sz w:val="20"/>
        </w:rPr>
        <w:t xml:space="preserve"> </w:t>
      </w:r>
      <w:r>
        <w:rPr>
          <w:rFonts w:ascii="Times New Roman" w:hAnsi="Times New Roman"/>
          <w:color w:val="000000"/>
          <w:sz w:val="24"/>
        </w:rPr>
        <w:t>means the U.S. Food and Drug Administration and any successor entity.</w:t>
      </w:r>
    </w:p>
    <w:p>
      <w:pPr>
        <w:pStyle w:val="TextBody"/>
        <w:bidi w:val="0"/>
        <w:spacing w:before="280" w:after="283"/>
        <w:jc w:val="both"/>
        <w:rPr/>
      </w:pPr>
      <w:r>
        <w:rPr>
          <w:color w:val="000000"/>
        </w:rPr>
        <w:t>“</w:t>
      </w:r>
      <w:r>
        <w:rPr>
          <w:rFonts w:ascii="Times New Roman" w:hAnsi="Times New Roman"/>
          <w:i/>
          <w:color w:val="000000"/>
          <w:sz w:val="24"/>
        </w:rPr>
        <w:t>FDA Laws”</w:t>
      </w:r>
      <w:r>
        <w:rPr>
          <w:rFonts w:ascii="Times New Roman" w:hAnsi="Times New Roman"/>
          <w:color w:val="000000"/>
          <w:sz w:val="20"/>
        </w:rPr>
        <w:t xml:space="preserve"> </w:t>
      </w:r>
      <w:r>
        <w:rPr>
          <w:rFonts w:ascii="Times New Roman" w:hAnsi="Times New Roman"/>
          <w:color w:val="000000"/>
          <w:sz w:val="24"/>
        </w:rPr>
        <w:t>means all applicable statutes, rules, regulations and orders administered or issued by the FDA, including without limitation, (a) the FD&amp;C Act and (b) the rules, regulations, guidelines, guidance documents and compliance policy guides issued or promulgated thereunder.</w:t>
      </w:r>
    </w:p>
    <w:p>
      <w:pPr>
        <w:pStyle w:val="TextBody"/>
        <w:bidi w:val="0"/>
        <w:spacing w:before="280" w:after="283"/>
        <w:jc w:val="both"/>
        <w:rPr/>
      </w:pPr>
      <w:r>
        <w:rPr>
          <w:color w:val="000000"/>
        </w:rPr>
        <w:t>“</w:t>
      </w:r>
      <w:r>
        <w:rPr>
          <w:rFonts w:ascii="Times New Roman" w:hAnsi="Times New Roman"/>
          <w:i/>
          <w:color w:val="000000"/>
          <w:sz w:val="24"/>
        </w:rPr>
        <w:t xml:space="preserve">Federal Health Care Program” </w:t>
      </w:r>
      <w:r>
        <w:rPr>
          <w:rFonts w:ascii="Times New Roman" w:hAnsi="Times New Roman"/>
          <w:color w:val="000000"/>
          <w:sz w:val="24"/>
        </w:rPr>
        <w:t>has the meaning specified in Section 1128B(f) of the Social Security Act and includes the programs commonly known as Medicare, Medicaid, TRICARE and CHAMPVA.</w:t>
      </w:r>
    </w:p>
    <w:p>
      <w:pPr>
        <w:pStyle w:val="TextBody"/>
        <w:bidi w:val="0"/>
        <w:spacing w:before="280" w:after="283"/>
        <w:jc w:val="both"/>
        <w:rPr/>
      </w:pPr>
      <w:r>
        <w:rPr>
          <w:color w:val="000000"/>
        </w:rPr>
        <w:t>“</w:t>
      </w:r>
      <w:r>
        <w:rPr>
          <w:rFonts w:ascii="Times New Roman" w:hAnsi="Times New Roman"/>
          <w:i/>
          <w:color w:val="000000"/>
          <w:sz w:val="24"/>
        </w:rPr>
        <w:t>Fee Letter</w:t>
      </w:r>
      <w:r>
        <w:rPr>
          <w:rFonts w:ascii="Times New Roman" w:hAnsi="Times New Roman"/>
          <w:color w:val="000000"/>
          <w:sz w:val="20"/>
        </w:rPr>
        <w:t xml:space="preserve">” </w:t>
      </w:r>
      <w:r>
        <w:rPr>
          <w:rFonts w:ascii="Times New Roman" w:hAnsi="Times New Roman"/>
          <w:color w:val="000000"/>
          <w:sz w:val="24"/>
        </w:rPr>
        <w:t>means that certain Fee Letter, dated as of the Closing Date, among the Obligors, the Lender and the Administrative Agent.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Financial Plan</w:t>
      </w:r>
      <w:r>
        <w:rPr>
          <w:rFonts w:ascii="Times New Roman" w:hAnsi="Times New Roman"/>
          <w:color w:val="000000"/>
          <w:sz w:val="20"/>
        </w:rPr>
        <w:t xml:space="preserve">” </w:t>
      </w:r>
      <w:r>
        <w:rPr>
          <w:rFonts w:ascii="Times New Roman" w:hAnsi="Times New Roman"/>
          <w:color w:val="000000"/>
          <w:sz w:val="24"/>
        </w:rPr>
        <w:t>has the meaning set forth in Section 8.01(h).</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 xml:space="preserve">Floor” </w:t>
      </w:r>
      <w:r>
        <w:rPr>
          <w:rFonts w:ascii="Times New Roman" w:hAnsi="Times New Roman"/>
          <w:color w:val="000000"/>
          <w:sz w:val="24"/>
        </w:rPr>
        <w:t>means a rate of interest equal to 4.00%.</w:t>
      </w:r>
    </w:p>
    <w:p>
      <w:pPr>
        <w:pStyle w:val="TextBody"/>
        <w:bidi w:val="0"/>
        <w:spacing w:before="280" w:after="283"/>
        <w:jc w:val="both"/>
        <w:rPr/>
      </w:pPr>
      <w:r>
        <w:rPr>
          <w:color w:val="000000"/>
        </w:rPr>
        <w:t>“</w:t>
      </w:r>
      <w:r>
        <w:rPr>
          <w:rFonts w:ascii="Times New Roman" w:hAnsi="Times New Roman"/>
          <w:i/>
          <w:color w:val="000000"/>
          <w:sz w:val="24"/>
        </w:rPr>
        <w:t>Foreign Lender”</w:t>
      </w:r>
      <w:r>
        <w:rPr>
          <w:rFonts w:ascii="Times New Roman" w:hAnsi="Times New Roman"/>
          <w:color w:val="000000"/>
          <w:sz w:val="20"/>
        </w:rPr>
        <w:t xml:space="preserve"> </w:t>
      </w:r>
      <w:r>
        <w:rPr>
          <w:rFonts w:ascii="Times New Roman" w:hAnsi="Times New Roman"/>
          <w:color w:val="000000"/>
          <w:sz w:val="24"/>
        </w:rPr>
        <w:t>means a Lender that is not a U.S. Person.</w:t>
      </w:r>
    </w:p>
    <w:p>
      <w:pPr>
        <w:pStyle w:val="TextBody"/>
        <w:bidi w:val="0"/>
        <w:spacing w:before="280" w:after="283"/>
        <w:jc w:val="both"/>
        <w:rPr/>
      </w:pPr>
      <w:r>
        <w:rPr>
          <w:color w:val="000000"/>
        </w:rPr>
        <w:t>“</w:t>
      </w:r>
      <w:r>
        <w:rPr>
          <w:rFonts w:ascii="Times New Roman" w:hAnsi="Times New Roman"/>
          <w:i/>
          <w:color w:val="000000"/>
          <w:sz w:val="24"/>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be to GAAP applied consistently with the principles used in the preparation of the financial statements described in Section 7.04(a).</w:t>
      </w:r>
    </w:p>
    <w:p>
      <w:pPr>
        <w:pStyle w:val="TextBody"/>
        <w:bidi w:val="0"/>
        <w:spacing w:before="280" w:after="283"/>
        <w:jc w:val="both"/>
        <w:rPr/>
      </w:pPr>
      <w:r>
        <w:rPr>
          <w:color w:val="000000"/>
        </w:rPr>
        <w:t>“</w:t>
      </w:r>
      <w:r>
        <w:rPr>
          <w:rFonts w:ascii="Times New Roman" w:hAnsi="Times New Roman"/>
          <w:i/>
          <w:color w:val="000000"/>
          <w:sz w:val="24"/>
        </w:rPr>
        <w:t>Governmental Approval”</w:t>
      </w:r>
      <w:r>
        <w:rPr>
          <w:rFonts w:ascii="Times New Roman" w:hAnsi="Times New Roman"/>
          <w:color w:val="000000"/>
          <w:sz w:val="20"/>
        </w:rPr>
        <w:t xml:space="preserve"> </w:t>
      </w:r>
      <w:r>
        <w:rPr>
          <w:rFonts w:ascii="Times New Roman" w:hAnsi="Times New Roman"/>
          <w:color w:val="000000"/>
          <w:sz w:val="24"/>
        </w:rPr>
        <w:t>means any consent, authorization, approval, order, license, franchise, permit, certification, accreditation, registration, clearance, exemption, filing or notice that is issued or granted by or from (or pursuant to any act of) any Governmental Authority, including any application or submission related to any of the foregoing.</w:t>
      </w:r>
    </w:p>
    <w:p>
      <w:pPr>
        <w:pStyle w:val="TextBody"/>
        <w:bidi w:val="0"/>
        <w:spacing w:before="280" w:after="283"/>
        <w:jc w:val="both"/>
        <w:rPr/>
      </w:pPr>
      <w:r>
        <w:rPr>
          <w:color w:val="000000"/>
        </w:rPr>
        <w:t>“</w:t>
      </w:r>
      <w:r>
        <w:rPr>
          <w:rFonts w:ascii="Times New Roman" w:hAnsi="Times New Roman"/>
          <w:i/>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nation, government, branch of power (whether executive, legislative or judicial), 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w:t>
        <w:noBreakHyphen/>
        <w:t>, rule</w:t>
        <w:noBreakHyphen/>
        <w:t xml:space="preserve"> or regulation</w:t>
        <w:noBreakHyphen/>
        <w:t>making organizations or entities of any State, territory, county, city or other political subdivision of the United States or any foreign country.</w:t>
      </w:r>
    </w:p>
    <w:p>
      <w:pPr>
        <w:pStyle w:val="TextBody"/>
        <w:bidi w:val="0"/>
        <w:spacing w:before="280" w:after="283"/>
        <w:jc w:val="both"/>
        <w:rPr/>
      </w:pPr>
      <w:r>
        <w:rPr>
          <w:color w:val="000000"/>
        </w:rPr>
        <w:t>“</w:t>
      </w:r>
      <w:r>
        <w:rPr>
          <w:rFonts w:ascii="Times New Roman" w:hAnsi="Times New Roman"/>
          <w:i/>
          <w:color w:val="000000"/>
          <w:sz w:val="24"/>
        </w:rPr>
        <w:t>Guarantee”</w:t>
      </w:r>
      <w:r>
        <w:rPr>
          <w:rFonts w:ascii="Times New Roman" w:hAnsi="Times New Roman"/>
          <w:color w:val="000000"/>
          <w:sz w:val="20"/>
        </w:rPr>
        <w:t xml:space="preserve"> </w:t>
      </w:r>
      <w:r>
        <w:rPr>
          <w:rFonts w:ascii="Times New Roman" w:hAnsi="Times New Roman"/>
          <w:color w:val="000000"/>
          <w:sz w:val="24"/>
        </w:rPr>
        <w:t xml:space="preserve">of or by any Person (the </w:t>
      </w:r>
      <w:r>
        <w:rPr>
          <w:rFonts w:ascii="Times New Roman" w:hAnsi="Times New Roman"/>
          <w:color w:val="000000"/>
          <w:sz w:val="20"/>
        </w:rPr>
        <w:t>“</w:t>
      </w:r>
      <w:r>
        <w:rPr>
          <w:rFonts w:ascii="Times New Roman" w:hAnsi="Times New Roman"/>
          <w:i/>
          <w:color w:val="000000"/>
          <w:sz w:val="24"/>
        </w:rPr>
        <w:t>guarantor”</w:t>
      </w:r>
      <w:r>
        <w:rPr>
          <w:rFonts w:ascii="Times New Roman" w:hAnsi="Times New Roman"/>
          <w:color w:val="000000"/>
          <w:sz w:val="24"/>
        </w:rPr>
        <w:t xml:space="preserve">) means any obligation, contingent or otherwise, of the guarantor guaranteeing or having the economic effect of guaranteeing any Indebtedness or other obligation of any other Person (the </w:t>
      </w:r>
      <w:r>
        <w:rPr>
          <w:rFonts w:ascii="Times New Roman" w:hAnsi="Times New Roman"/>
          <w:color w:val="000000"/>
          <w:sz w:val="20"/>
        </w:rPr>
        <w:t>“</w:t>
      </w:r>
      <w:r>
        <w:rPr>
          <w:rFonts w:ascii="Times New Roman" w:hAnsi="Times New Roman"/>
          <w:i/>
          <w:color w:val="000000"/>
          <w:sz w:val="24"/>
        </w:rPr>
        <w:t>primary obligor”</w:t>
      </w:r>
      <w:r>
        <w:rPr>
          <w:rFonts w:ascii="Times New Roman" w:hAnsi="Times New Roman"/>
          <w:color w:val="000000"/>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term Guarantee shall not include endorsements for collection or deposit in the Ordinary Course of Business.</w:t>
      </w:r>
    </w:p>
    <w:p>
      <w:pPr>
        <w:pStyle w:val="TextBody"/>
        <w:bidi w:val="0"/>
        <w:spacing w:before="280" w:after="283"/>
        <w:jc w:val="both"/>
        <w:rPr/>
      </w:pPr>
      <w:r>
        <w:rPr>
          <w:color w:val="000000"/>
        </w:rPr>
        <w:t>“</w:t>
      </w:r>
      <w:r>
        <w:rPr>
          <w:rFonts w:ascii="Times New Roman" w:hAnsi="Times New Roman"/>
          <w:i/>
          <w:color w:val="000000"/>
          <w:sz w:val="24"/>
        </w:rPr>
        <w:t>Guarantee Assumption Agreement”</w:t>
      </w:r>
      <w:r>
        <w:rPr>
          <w:rFonts w:ascii="Times New Roman" w:hAnsi="Times New Roman"/>
          <w:color w:val="000000"/>
          <w:sz w:val="20"/>
        </w:rPr>
        <w:t xml:space="preserve"> </w:t>
      </w:r>
      <w:r>
        <w:rPr>
          <w:rFonts w:ascii="Times New Roman" w:hAnsi="Times New Roman"/>
          <w:color w:val="000000"/>
          <w:sz w:val="24"/>
        </w:rPr>
        <w:t>means a Guarantee Assumption Agreement substantially in the form of Exhibit A by an entity that, pursuant to Section 8.11(a), is required to become a “Guarantor”.</w:t>
      </w:r>
    </w:p>
    <w:p>
      <w:pPr>
        <w:pStyle w:val="TextBody"/>
        <w:bidi w:val="0"/>
        <w:spacing w:before="280" w:after="283"/>
        <w:jc w:val="both"/>
        <w:rPr/>
      </w:pPr>
      <w:r>
        <w:rPr>
          <w:color w:val="000000"/>
        </w:rPr>
        <w:t>“</w:t>
      </w:r>
      <w:r>
        <w:rPr>
          <w:rFonts w:ascii="Times New Roman" w:hAnsi="Times New Roman"/>
          <w:i/>
          <w:color w:val="000000"/>
          <w:sz w:val="24"/>
        </w:rPr>
        <w:t>Guaranteed Obligations”</w:t>
      </w:r>
      <w:r>
        <w:rPr>
          <w:rFonts w:ascii="Times New Roman" w:hAnsi="Times New Roman"/>
          <w:color w:val="000000"/>
          <w:sz w:val="20"/>
        </w:rPr>
        <w:t xml:space="preserve"> </w:t>
      </w:r>
      <w:r>
        <w:rPr>
          <w:rFonts w:ascii="Times New Roman" w:hAnsi="Times New Roman"/>
          <w:color w:val="000000"/>
          <w:sz w:val="24"/>
        </w:rPr>
        <w:t>has the meaning set forth in Section 11.01.</w:t>
      </w:r>
    </w:p>
    <w:p>
      <w:pPr>
        <w:pStyle w:val="TextBody"/>
        <w:bidi w:val="0"/>
        <w:spacing w:before="280" w:after="283"/>
        <w:jc w:val="both"/>
        <w:rPr/>
      </w:pPr>
      <w:r>
        <w:rPr>
          <w:color w:val="000000"/>
        </w:rPr>
        <w:t>“</w:t>
      </w:r>
      <w:r>
        <w:rPr>
          <w:rFonts w:ascii="Times New Roman" w:hAnsi="Times New Roman"/>
          <w:i/>
          <w:color w:val="000000"/>
          <w:sz w:val="24"/>
        </w:rPr>
        <w:t>Guarantor”</w:t>
      </w:r>
      <w:r>
        <w:rPr>
          <w:rFonts w:ascii="Times New Roman" w:hAnsi="Times New Roman"/>
          <w:color w:val="000000"/>
          <w:sz w:val="20"/>
        </w:rPr>
        <w:t xml:space="preserve"> </w:t>
      </w:r>
      <w:r>
        <w:rPr>
          <w:rFonts w:ascii="Times New Roman" w:hAnsi="Times New Roman"/>
          <w:color w:val="000000"/>
          <w:sz w:val="24"/>
        </w:rPr>
        <w:t>means each Domestic Subsidiary of the Borrower on the Closing Date or joined as a Guarantor from time to time pursuant to Section 8.11(a).</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Hazardous Material”</w:t>
      </w:r>
      <w:r>
        <w:rPr>
          <w:rFonts w:ascii="Times New Roman" w:hAnsi="Times New Roman"/>
          <w:color w:val="000000"/>
          <w:sz w:val="20"/>
        </w:rPr>
        <w:t xml:space="preserve"> </w:t>
      </w:r>
      <w:r>
        <w:rPr>
          <w:rFonts w:ascii="Times New Roman" w:hAnsi="Times New Roman"/>
          <w:color w:val="000000"/>
          <w:sz w:val="24"/>
        </w:rPr>
        <w:t>means any substance, element, chemical, compound, product, solid, gas, liquid, waste, by</w:t>
        <w:noBreakHyphen/>
        <w:t>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280" w:after="283"/>
        <w:jc w:val="both"/>
        <w:rPr/>
      </w:pPr>
      <w:r>
        <w:rPr>
          <w:color w:val="000000"/>
        </w:rPr>
        <w:t>“</w:t>
      </w:r>
      <w:r>
        <w:rPr>
          <w:rFonts w:ascii="Times New Roman" w:hAnsi="Times New Roman"/>
          <w:i/>
          <w:color w:val="000000"/>
          <w:sz w:val="24"/>
        </w:rPr>
        <w:t>Health Care Compliance Program”</w:t>
      </w:r>
      <w:r>
        <w:rPr>
          <w:rFonts w:ascii="Times New Roman" w:hAnsi="Times New Roman"/>
          <w:color w:val="000000"/>
          <w:sz w:val="20"/>
        </w:rPr>
        <w:t xml:space="preserve"> </w:t>
      </w:r>
      <w:r>
        <w:rPr>
          <w:rFonts w:ascii="Times New Roman" w:hAnsi="Times New Roman"/>
          <w:color w:val="000000"/>
          <w:sz w:val="24"/>
        </w:rPr>
        <w:t>has the meaning set forth in Section 7.07(b)(v).</w:t>
      </w:r>
    </w:p>
    <w:p>
      <w:pPr>
        <w:pStyle w:val="TextBody"/>
        <w:bidi w:val="0"/>
        <w:spacing w:before="280" w:after="283"/>
        <w:jc w:val="both"/>
        <w:rPr/>
      </w:pPr>
      <w:r>
        <w:rPr>
          <w:color w:val="000000"/>
        </w:rPr>
        <w:t>“</w:t>
      </w:r>
      <w:r>
        <w:rPr>
          <w:rFonts w:ascii="Times New Roman" w:hAnsi="Times New Roman"/>
          <w:i/>
          <w:color w:val="000000"/>
          <w:sz w:val="24"/>
        </w:rPr>
        <w:t>Health Care Laws”</w:t>
      </w:r>
      <w:r>
        <w:rPr>
          <w:rFonts w:ascii="Times New Roman" w:hAnsi="Times New Roman"/>
          <w:color w:val="000000"/>
          <w:sz w:val="20"/>
        </w:rPr>
        <w:t xml:space="preserve"> </w:t>
      </w:r>
      <w:r>
        <w:rPr>
          <w:rFonts w:ascii="Times New Roman" w:hAnsi="Times New Roman"/>
          <w:color w:val="000000"/>
          <w:sz w:val="24"/>
        </w:rPr>
        <w:t>means, collectively, all Laws applicable to the business of the Borrower or any other Obligor and any of their Subsidiaries relating to (a) the manufacturing, sale, distribution, labeling, marketing, import, export, or promotion, or the provision of and payment for, health care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products, items and services, including but not limited to all applicable Regulated Product Laws; (b) the privacy, security, storage, collection, or other processing of consumer information, including but not limited to applicable federal or state consumer information privacy and security laws; (c) fraud and abuse, false claims, self-referral, kickbacks, fee-splitting, or patient brokering, including but not limited to (i) the federal Anti-Kickback Statute (42 U.S.C. § 1320a-7b(b)) and any similar state laws, (ii) the Ethics in Patient Referrals Act (Stark Law) (42 U.S.C. § 1395nn) and any similar state laws, (iii) the civil False Claims Act (31 U.S.C. § 3729 et seq.) and any similar state laws, (iv) the federal health care program exclusion provisions (42 U.S.C. § 1320a-7), (v) the Civil Monetary Penalties Act (42 U.S.C. § 1320a-7a), (vi) the Medicare Prescription Drug, Improvement, and Modernization Act of 2003 (Pub. L. No. 108-173), (vii) the Eliminating Kickbacks in Recovery Act (18 U.S.C. § 220) and (viii) other applicable requirements relating to prohibited remuneration, or the defrauding of, or making of any false claim, false statement, or misrepresentation of material facts; (d) the provision of health care supplies, items or services to Federal Health Care Program beneficiaries or the billing of the Federal Health Care Programs; (e) clinical or other human subjects research and patient consent; (f) required health care Permits, including applicable Laws relating to the licensure or registration of health care providers, suppliers, facilities, and manufacturers; (g) </w:t>
      </w:r>
      <w:r>
        <w:rPr>
          <w:rFonts w:ascii="Times New Roman" w:hAnsi="Times New Roman"/>
          <w:i/>
          <w:color w:val="000000"/>
          <w:sz w:val="24"/>
        </w:rPr>
        <w:t>reserved</w:t>
      </w:r>
      <w:r>
        <w:rPr>
          <w:rFonts w:ascii="Times New Roman" w:hAnsi="Times New Roman"/>
          <w:color w:val="000000"/>
          <w:sz w:val="24"/>
        </w:rPr>
        <w:t>; and (h) all rules and regulations promulgated under or pursuant to any of the foregoing.</w:t>
      </w:r>
    </w:p>
    <w:p>
      <w:pPr>
        <w:pStyle w:val="TextBody"/>
        <w:bidi w:val="0"/>
        <w:spacing w:before="280" w:after="283"/>
        <w:jc w:val="both"/>
        <w:rPr/>
      </w:pPr>
      <w:r>
        <w:rPr>
          <w:color w:val="000000"/>
        </w:rPr>
        <w:t>“</w:t>
      </w:r>
      <w:r>
        <w:rPr>
          <w:rFonts w:ascii="Times New Roman" w:hAnsi="Times New Roman"/>
          <w:i/>
          <w:color w:val="000000"/>
          <w:sz w:val="24"/>
        </w:rPr>
        <w:t>Hedging Agreement”</w:t>
      </w:r>
      <w:r>
        <w:rPr>
          <w:rFonts w:ascii="Times New Roman" w:hAnsi="Times New Roman"/>
          <w:color w:val="000000"/>
          <w:sz w:val="20"/>
        </w:rPr>
        <w:t xml:space="preserve"> </w:t>
      </w:r>
      <w:r>
        <w:rPr>
          <w:rFonts w:ascii="Times New Roman" w:hAnsi="Times New Roman"/>
          <w:color w:val="000000"/>
          <w:sz w:val="24"/>
        </w:rPr>
        <w:t>means any interest rate exchange agreement, foreign currency exchange agreement, commodity price protection agreement or other interest or currency exchange rate or commodity price hedging arrangement.</w:t>
      </w:r>
    </w:p>
    <w:p>
      <w:pPr>
        <w:pStyle w:val="TextBody"/>
        <w:bidi w:val="0"/>
        <w:spacing w:before="280" w:after="283"/>
        <w:jc w:val="both"/>
        <w:rPr/>
      </w:pPr>
      <w:r>
        <w:rPr>
          <w:color w:val="000000"/>
        </w:rPr>
        <w:t>“</w:t>
      </w:r>
      <w:r>
        <w:rPr>
          <w:rFonts w:ascii="Times New Roman" w:hAnsi="Times New Roman"/>
          <w:i/>
          <w:color w:val="000000"/>
          <w:sz w:val="24"/>
        </w:rPr>
        <w:t xml:space="preserve">Indebtedness” </w:t>
      </w:r>
      <w:r>
        <w:rPr>
          <w:rFonts w:ascii="Times New Roman" w:hAnsi="Times New Roman"/>
          <w:color w:val="000000"/>
          <w:sz w:val="24"/>
        </w:rPr>
        <w:t>of any Person means, without duplication, (a) all obligations of such Person for borrowed money, (b) all 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not overdue by more than one hundred twenty (120)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(l) all obligations of such Person under license or other agreements containing a guaranteed minimum payment or purchase by such Person, (m) any Disqualified Equity Interests of such Person, (n) any earnout obligation at the time such obligation is both required to be reflected as a liability on the balance sheet of such Person in accordance with GAAP and not paid after becoming due and payable and (o) all other obligations required to be classified as indebtedness 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before="280" w:after="283"/>
        <w:jc w:val="both"/>
        <w:rPr/>
      </w:pPr>
      <w:r>
        <w:rPr>
          <w:color w:val="000000"/>
        </w:rPr>
        <w:t>“</w:t>
      </w:r>
      <w:r>
        <w:rPr>
          <w:rFonts w:ascii="Times New Roman" w:hAnsi="Times New Roman"/>
          <w:i/>
          <w:color w:val="000000"/>
          <w:sz w:val="24"/>
        </w:rPr>
        <w:t>Indemnified Party”</w:t>
      </w:r>
      <w:r>
        <w:rPr>
          <w:rFonts w:ascii="Times New Roman" w:hAnsi="Times New Roman"/>
          <w:color w:val="000000"/>
          <w:sz w:val="20"/>
        </w:rPr>
        <w:t xml:space="preserve"> </w:t>
      </w:r>
      <w:r>
        <w:rPr>
          <w:rFonts w:ascii="Times New Roman" w:hAnsi="Times New Roman"/>
          <w:color w:val="000000"/>
          <w:sz w:val="24"/>
        </w:rPr>
        <w:t>has the meaning set forth in Section 13.03(b).</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pPr>
      <w:r>
        <w:rPr>
          <w:color w:val="000000"/>
        </w:rPr>
        <w:t>“</w:t>
      </w:r>
      <w:r>
        <w:rPr>
          <w:rFonts w:ascii="Times New Roman" w:hAnsi="Times New Roman"/>
          <w:i/>
          <w:color w:val="000000"/>
          <w:sz w:val="24"/>
        </w:rPr>
        <w:t>Indemnified Taxes”</w:t>
      </w:r>
      <w:r>
        <w:rPr>
          <w:rFonts w:ascii="Times New Roman" w:hAnsi="Times New Roman"/>
          <w:color w:val="000000"/>
          <w:sz w:val="20"/>
        </w:rPr>
        <w:t xml:space="preserve"> </w:t>
      </w:r>
      <w:r>
        <w:rPr>
          <w:rFonts w:ascii="Times New Roman" w:hAnsi="Times New Roman"/>
          <w:color w:val="000000"/>
          <w:sz w:val="24"/>
        </w:rPr>
        <w:t>means (a) Taxes, other than Excluded Taxes, imposed on or with respect to any payment made by or on account of any Obligation and (b) to the extent not otherwise described in clause (a), Other Taxes.</w:t>
      </w:r>
    </w:p>
    <w:p>
      <w:pPr>
        <w:pStyle w:val="TextBody"/>
        <w:bidi w:val="0"/>
        <w:spacing w:before="280" w:after="283"/>
        <w:jc w:val="both"/>
        <w:rPr/>
      </w:pPr>
      <w:r>
        <w:rPr>
          <w:color w:val="000000"/>
        </w:rPr>
        <w:t>“</w:t>
      </w:r>
      <w:r>
        <w:rPr>
          <w:rFonts w:ascii="Times New Roman" w:hAnsi="Times New Roman"/>
          <w:i/>
          <w:color w:val="000000"/>
          <w:sz w:val="24"/>
        </w:rPr>
        <w:t>Industrial Designs”</w:t>
      </w:r>
      <w:r>
        <w:rPr>
          <w:rFonts w:ascii="Times New Roman" w:hAnsi="Times New Roman"/>
          <w:color w:val="000000"/>
          <w:sz w:val="24"/>
        </w:rPr>
        <w:t>means all right, title and interests arising under any Laws in or relating to all industrial designs, intangibles of like nature, and any work subject to the design laws of the United States, or any other country or any political subdivision thereof applicable to the Obligors’ Products.</w:t>
      </w:r>
    </w:p>
    <w:p>
      <w:pPr>
        <w:pStyle w:val="TextBody"/>
        <w:bidi w:val="0"/>
        <w:spacing w:before="280" w:after="283"/>
        <w:jc w:val="both"/>
        <w:rPr/>
      </w:pPr>
      <w:r>
        <w:rPr>
          <w:color w:val="000000"/>
        </w:rPr>
        <w:t>“</w:t>
      </w:r>
      <w:r>
        <w:rPr>
          <w:rFonts w:ascii="Times New Roman" w:hAnsi="Times New Roman"/>
          <w:i/>
          <w:color w:val="000000"/>
          <w:sz w:val="24"/>
        </w:rPr>
        <w:t xml:space="preserve">Ineligible Assignee” </w:t>
      </w:r>
      <w:r>
        <w:rPr>
          <w:rFonts w:ascii="Times New Roman" w:hAnsi="Times New Roman"/>
          <w:color w:val="000000"/>
          <w:sz w:val="24"/>
        </w:rPr>
        <w:t>means (a) a natural person, (b) the Obligors or any of their respective Affiliates or (c) so long as no Event of Default shall have occurred and is continuing, any Competitor.</w:t>
      </w:r>
    </w:p>
    <w:p>
      <w:pPr>
        <w:pStyle w:val="TextBody"/>
        <w:bidi w:val="0"/>
        <w:spacing w:before="280" w:after="283"/>
        <w:jc w:val="both"/>
        <w:rPr/>
      </w:pPr>
      <w:r>
        <w:rPr>
          <w:color w:val="000000"/>
        </w:rPr>
        <w:t>“</w:t>
      </w:r>
      <w:r>
        <w:rPr>
          <w:rFonts w:ascii="Times New Roman" w:hAnsi="Times New Roman"/>
          <w:i/>
          <w:color w:val="000000"/>
          <w:sz w:val="24"/>
        </w:rPr>
        <w:t>Information”</w:t>
      </w:r>
      <w:r>
        <w:rPr>
          <w:rFonts w:ascii="Times New Roman" w:hAnsi="Times New Roman"/>
          <w:color w:val="000000"/>
          <w:sz w:val="20"/>
        </w:rPr>
        <w:t xml:space="preserve"> </w:t>
      </w:r>
      <w:r>
        <w:rPr>
          <w:rFonts w:ascii="Times New Roman" w:hAnsi="Times New Roman"/>
          <w:color w:val="000000"/>
          <w:sz w:val="24"/>
        </w:rPr>
        <w:t>has the meaning set forth in Section 13.17.</w:t>
      </w:r>
    </w:p>
    <w:p>
      <w:pPr>
        <w:pStyle w:val="TextBody"/>
        <w:bidi w:val="0"/>
        <w:spacing w:before="280" w:after="283"/>
        <w:jc w:val="both"/>
        <w:rPr/>
      </w:pPr>
      <w:r>
        <w:rPr>
          <w:color w:val="000000"/>
        </w:rPr>
        <w:t>“</w:t>
      </w:r>
      <w:r>
        <w:rPr>
          <w:rFonts w:ascii="Times New Roman" w:hAnsi="Times New Roman"/>
          <w:i/>
          <w:color w:val="000000"/>
          <w:sz w:val="24"/>
        </w:rPr>
        <w:t>Insolvency Proceeding”</w:t>
      </w:r>
      <w:r>
        <w:rPr>
          <w:rFonts w:ascii="Times New Roman" w:hAnsi="Times New Roman"/>
          <w:color w:val="000000"/>
          <w:sz w:val="20"/>
        </w:rPr>
        <w:t xml:space="preserve"> </w:t>
      </w:r>
      <w:r>
        <w:rPr>
          <w:rFonts w:ascii="Times New Roman" w:hAnsi="Times New Roman"/>
          <w:color w:val="000000"/>
          <w:sz w:val="24"/>
        </w:rPr>
        <w:t>means (a) any case, action or proceeding before any court or other Governmental Authority relating to bankruptcy, reorganization, insolvency, liquidation, receivership, dissolution, winding</w:t>
        <w:noBreakHyphen/>
        <w:t>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pStyle w:val="TextBody"/>
        <w:bidi w:val="0"/>
        <w:spacing w:before="280" w:after="283"/>
        <w:jc w:val="both"/>
        <w:rPr/>
      </w:pPr>
      <w:r>
        <w:rPr>
          <w:color w:val="000000"/>
        </w:rPr>
        <w:t>“</w:t>
      </w:r>
      <w:r>
        <w:rPr>
          <w:rFonts w:ascii="Times New Roman" w:hAnsi="Times New Roman"/>
          <w:i/>
          <w:color w:val="000000"/>
          <w:sz w:val="24"/>
        </w:rPr>
        <w:t>Intellectual Property”</w:t>
      </w:r>
      <w:r>
        <w:rPr>
          <w:rFonts w:ascii="Times New Roman" w:hAnsi="Times New Roman"/>
          <w:color w:val="000000"/>
          <w:sz w:val="20"/>
        </w:rPr>
        <w:t xml:space="preserve"> </w:t>
      </w:r>
      <w:r>
        <w:rPr>
          <w:rFonts w:ascii="Times New Roman" w:hAnsi="Times New Roman"/>
          <w:color w:val="000000"/>
          <w:sz w:val="24"/>
        </w:rPr>
        <w:t>means, with respect to any Person, all of such Person’s rights, title and interest in and to all Patents, Trademarks, Copyrights, Industrial Designs, Technical Information, whether registered or not and whether existing under U.S. or non-U.S. Law or jurisdiction, including, without limitation, all:</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applications, registrations, amendments and extensions relating to such Intellectual Property;</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rights and privileges arising under any applicable Laws with respect to any Intellectual Property;</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rights to sue for or collect any damages from any past, present or future infringements of any Intellectual Property; and</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rights of the same or similar effect or nature as described above in any jurisdiction corresponding to any Intellectual Property throughout the world.</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Interest Period”</w:t>
      </w:r>
      <w:r>
        <w:rPr>
          <w:rFonts w:ascii="Times New Roman" w:hAnsi="Times New Roman"/>
          <w:color w:val="000000"/>
          <w:sz w:val="20"/>
        </w:rPr>
        <w:t xml:space="preserve"> </w:t>
      </w:r>
      <w:r>
        <w:rPr>
          <w:rFonts w:ascii="Times New Roman" w:hAnsi="Times New Roman"/>
          <w:color w:val="000000"/>
          <w:sz w:val="24"/>
        </w:rPr>
        <w:t>means, (a) as to the Tranche A Term Loan, (i) initially, the period beginning on (and including) the Closing Date and ending on (and including) the last day of the calendar month in which the Closing Date occurs, and (ii) thereafter, the period beginning on (and including) the first day of each succeeding calendar month and ending on the earlier of (and including) (x) the last day of such calendar month and (y) the Maturity Date, and (b) as to the Tranche B Term Loan, (i) the period commencing on (and including) the Tranche B Term Loan Borrowing Date and ending on (and including) the last day of the calendar month in which the Tranche B Term Loan Borrowing Date occurs, and (ii) thereafter, the period beginning on (and including) the first day of each succeeding calendar month and ending on the earlier of (and including) (x) the last day of such calendar month and (y) the Maturity Date.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pPr>
      <w:r>
        <w:rPr>
          <w:color w:val="000000"/>
        </w:rPr>
        <w:t>“</w:t>
      </w:r>
      <w:r>
        <w:rPr>
          <w:rFonts w:ascii="Times New Roman" w:hAnsi="Times New Roman"/>
          <w:i/>
          <w:color w:val="000000"/>
          <w:sz w:val="24"/>
        </w:rPr>
        <w:t>Invention”</w:t>
      </w:r>
      <w:r>
        <w:rPr>
          <w:rFonts w:ascii="Times New Roman" w:hAnsi="Times New Roman"/>
          <w:color w:val="000000"/>
          <w:sz w:val="20"/>
        </w:rPr>
        <w:t xml:space="preserve"> </w:t>
      </w:r>
      <w:r>
        <w:rPr>
          <w:rFonts w:ascii="Times New Roman" w:hAnsi="Times New Roman"/>
          <w:color w:val="000000"/>
          <w:sz w:val="24"/>
        </w:rPr>
        <w:t>means any novel, inventive or useful art, apparatus, method, process, machine (including any article or Device), manufacture or composition of matter, or any novel, inventive and useful improvement in any art, method, process, machine (including any article or Device), manufacture or composition of matter.</w:t>
      </w:r>
    </w:p>
    <w:p>
      <w:pPr>
        <w:pStyle w:val="TextBody"/>
        <w:bidi w:val="0"/>
        <w:spacing w:before="280" w:after="283"/>
        <w:jc w:val="both"/>
        <w:rPr/>
      </w:pPr>
      <w:r>
        <w:rPr>
          <w:color w:val="000000"/>
        </w:rPr>
        <w:t>“</w:t>
      </w:r>
      <w:r>
        <w:rPr>
          <w:rFonts w:ascii="Times New Roman" w:hAnsi="Times New Roman"/>
          <w:i/>
          <w:color w:val="000000"/>
          <w:sz w:val="24"/>
        </w:rPr>
        <w:t>Investment”</w:t>
      </w:r>
      <w:r>
        <w:rPr>
          <w:rFonts w:ascii="Times New Roman" w:hAnsi="Times New Roman"/>
          <w:color w:val="000000"/>
          <w:sz w:val="20"/>
        </w:rPr>
        <w:t xml:space="preserve"> </w:t>
      </w:r>
      <w:r>
        <w:rPr>
          <w:rFonts w:ascii="Times New Roman" w:hAnsi="Times New Roman"/>
          <w:color w:val="000000"/>
          <w:sz w:val="24"/>
        </w:rPr>
        <w:t>means, for any Person: (a) the acquisition (whether for cash, Property, services or securities or otherwise) of 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ninety (90) days arising in connection with the sale of services, inventory or supplies by such Person in the Ordinary Course of Business; (c) the entering into of any Guarantee of, or other contingent obligation with respect to, Indebtedness or other liability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pStyle w:val="TextBody"/>
        <w:bidi w:val="0"/>
        <w:spacing w:before="280" w:after="283"/>
        <w:jc w:val="both"/>
        <w:rPr/>
      </w:pPr>
      <w:r>
        <w:rPr>
          <w:color w:val="000000"/>
        </w:rPr>
        <w:t>“</w:t>
      </w:r>
      <w:r>
        <w:rPr>
          <w:rFonts w:ascii="Times New Roman" w:hAnsi="Times New Roman"/>
          <w:i/>
          <w:color w:val="000000"/>
          <w:sz w:val="24"/>
        </w:rPr>
        <w:t>IRS”</w:t>
      </w:r>
      <w:r>
        <w:rPr>
          <w:rFonts w:ascii="Times New Roman" w:hAnsi="Times New Roman"/>
          <w:color w:val="000000"/>
          <w:sz w:val="20"/>
        </w:rPr>
        <w:t xml:space="preserve"> </w:t>
      </w:r>
      <w:r>
        <w:rPr>
          <w:rFonts w:ascii="Times New Roman" w:hAnsi="Times New Roman"/>
          <w:color w:val="000000"/>
          <w:sz w:val="24"/>
        </w:rPr>
        <w:t>means the U.S. Internal Revenue Service or any successor agency, and to the extent relevant, the U.S. Department of the Treasury.</w:t>
      </w:r>
    </w:p>
    <w:p>
      <w:pPr>
        <w:pStyle w:val="TextBody"/>
        <w:bidi w:val="0"/>
        <w:spacing w:before="280" w:after="283"/>
        <w:jc w:val="both"/>
        <w:rPr/>
      </w:pPr>
      <w:r>
        <w:rPr>
          <w:color w:val="000000"/>
        </w:rPr>
        <w:t>“</w:t>
      </w:r>
      <w:r>
        <w:rPr>
          <w:rFonts w:ascii="Times New Roman" w:hAnsi="Times New Roman"/>
          <w:i/>
          <w:color w:val="000000"/>
          <w:sz w:val="24"/>
        </w:rPr>
        <w:t>Laws”</w:t>
      </w:r>
      <w:r>
        <w:rPr>
          <w:rFonts w:ascii="Times New Roman" w:hAnsi="Times New Roman"/>
          <w:color w:val="000000"/>
          <w:sz w:val="20"/>
        </w:rPr>
        <w:t xml:space="preserve"> </w:t>
      </w:r>
      <w:r>
        <w:rPr>
          <w:rFonts w:ascii="Times New Roman" w:hAnsi="Times New Roman"/>
          <w:color w:val="000000"/>
          <w:sz w:val="24"/>
        </w:rPr>
        <w:t>means, collectively, all international, foreign, federal, state, provincial, territorial, municipal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280" w:after="283"/>
        <w:jc w:val="both"/>
        <w:rPr/>
      </w:pPr>
      <w:r>
        <w:rPr>
          <w:color w:val="000000"/>
        </w:rPr>
        <w:t>“</w:t>
      </w:r>
      <w:r>
        <w:rPr>
          <w:rFonts w:ascii="Times New Roman" w:hAnsi="Times New Roman"/>
          <w:i/>
          <w:color w:val="000000"/>
          <w:sz w:val="24"/>
        </w:rPr>
        <w:t>Lenders”</w:t>
      </w:r>
      <w:r>
        <w:rPr>
          <w:rFonts w:ascii="Times New Roman" w:hAnsi="Times New Roman"/>
          <w:color w:val="000000"/>
          <w:sz w:val="20"/>
        </w:rPr>
        <w:t xml:space="preserve"> </w:t>
      </w:r>
      <w:r>
        <w:rPr>
          <w:rFonts w:ascii="Times New Roman" w:hAnsi="Times New Roman"/>
          <w:color w:val="000000"/>
          <w:sz w:val="24"/>
        </w:rPr>
        <w:t>has the meaning set forth in the introduction hereto.</w:t>
      </w:r>
    </w:p>
    <w:p>
      <w:pPr>
        <w:pStyle w:val="TextBody"/>
        <w:bidi w:val="0"/>
        <w:spacing w:before="280" w:after="283"/>
        <w:jc w:val="both"/>
        <w:rPr/>
      </w:pPr>
      <w:r>
        <w:rPr>
          <w:color w:val="000000"/>
        </w:rPr>
        <w:t>“</w:t>
      </w:r>
      <w:r>
        <w:rPr>
          <w:rFonts w:ascii="Times New Roman" w:hAnsi="Times New Roman"/>
          <w:i/>
          <w:color w:val="000000"/>
          <w:sz w:val="24"/>
        </w:rPr>
        <w:t>Lien”</w:t>
      </w:r>
      <w:r>
        <w:rPr>
          <w:rFonts w:ascii="Times New Roman" w:hAnsi="Times New Roman"/>
          <w:color w:val="000000"/>
          <w:sz w:val="20"/>
        </w:rPr>
        <w:t xml:space="preserve"> </w:t>
      </w:r>
      <w:r>
        <w:rPr>
          <w:rFonts w:ascii="Times New Roman" w:hAnsi="Times New Roman"/>
          <w:color w:val="000000"/>
          <w:sz w:val="24"/>
        </w:rPr>
        <w:t>means any mortgage, lien, pledge, charge or other security interest, or any lease, title retention agreement, mortgage, restriction, easement, right</w:t>
        <w:noBreakHyphen/>
        <w:t>of</w:t>
        <w:noBreakHyphen/>
        <w:t>way, option or adverse Claim (of ownership or possession) or other encumbrance of any kind or character whatsoever or any preferential arrangement that has the practical effect of creating a security interest.</w:t>
      </w:r>
    </w:p>
    <w:p>
      <w:pPr>
        <w:pStyle w:val="TextBody"/>
        <w:bidi w:val="0"/>
        <w:spacing w:before="280" w:after="283"/>
        <w:jc w:val="both"/>
        <w:rPr/>
      </w:pPr>
      <w:r>
        <w:rPr>
          <w:color w:val="000000"/>
        </w:rPr>
        <w:t>“</w:t>
      </w:r>
      <w:r>
        <w:rPr>
          <w:rFonts w:ascii="Times New Roman" w:hAnsi="Times New Roman"/>
          <w:i/>
          <w:color w:val="000000"/>
          <w:sz w:val="24"/>
        </w:rPr>
        <w:t>Loan Documents”</w:t>
      </w:r>
      <w:r>
        <w:rPr>
          <w:rFonts w:ascii="Times New Roman" w:hAnsi="Times New Roman"/>
          <w:color w:val="000000"/>
          <w:sz w:val="20"/>
        </w:rPr>
        <w:t xml:space="preserve"> </w:t>
      </w:r>
      <w:r>
        <w:rPr>
          <w:rFonts w:ascii="Times New Roman" w:hAnsi="Times New Roman"/>
          <w:color w:val="000000"/>
          <w:sz w:val="24"/>
        </w:rPr>
        <w:t>means, collectively, this Agreement, any Notes, the Security Documents, any Guarantee Assumption Agreement, the Fee Letter, the Warrant Certificate (to the extent issued to the Administrative Agent), the Collateral Assignment of Business Interruption Insurance Policy, any intercompany notes, any collateral access agreement or bailee waiver, and any subordination agreement, intercreditor agreement or other present or future document, instrument, agreement or certificate delivered to any Lender in connection with this Agreement or any of the other Loan Documents, in each case, as amended, restated, supplemented or otherwise modified.</w:t>
      </w:r>
    </w:p>
    <w:p>
      <w:pPr>
        <w:pStyle w:val="TextBody"/>
        <w:bidi w:val="0"/>
        <w:spacing w:before="280" w:after="283"/>
        <w:jc w:val="both"/>
        <w:rPr/>
      </w:pPr>
      <w:r>
        <w:rPr>
          <w:color w:val="000000"/>
        </w:rPr>
        <w:t>“</w:t>
      </w:r>
      <w:r>
        <w:rPr>
          <w:rFonts w:ascii="Times New Roman" w:hAnsi="Times New Roman"/>
          <w:i/>
          <w:color w:val="000000"/>
          <w:sz w:val="24"/>
        </w:rPr>
        <w:t>Loan Exposure”</w:t>
      </w:r>
      <w:r>
        <w:rPr>
          <w:rFonts w:ascii="Times New Roman" w:hAnsi="Times New Roman"/>
          <w:color w:val="000000"/>
          <w:sz w:val="20"/>
        </w:rPr>
        <w:t xml:space="preserve"> </w:t>
      </w:r>
      <w:r>
        <w:rPr>
          <w:rFonts w:ascii="Times New Roman" w:hAnsi="Times New Roman"/>
          <w:color w:val="000000"/>
          <w:sz w:val="24"/>
        </w:rPr>
        <w:t xml:space="preserve">means, with respect to any Lender, as of any date of determination, the outstanding principal amount of such Lender’s portion of the Term Loans; </w:t>
      </w:r>
      <w:r>
        <w:rPr>
          <w:rFonts w:ascii="Times New Roman" w:hAnsi="Times New Roman"/>
          <w:i/>
          <w:color w:val="000000"/>
          <w:sz w:val="24"/>
        </w:rPr>
        <w:t>provided,</w:t>
      </w:r>
      <w:r>
        <w:rPr>
          <w:rFonts w:ascii="Times New Roman" w:hAnsi="Times New Roman"/>
          <w:color w:val="000000"/>
          <w:sz w:val="24"/>
        </w:rPr>
        <w:t>at any time prior to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making of a Term Loan, the Loan Exposure of any Lender shall be equal to such Lender’s Commitment with respect to such Term Loan.</w:t>
      </w:r>
    </w:p>
    <w:p>
      <w:pPr>
        <w:pStyle w:val="TextBody"/>
        <w:bidi w:val="0"/>
        <w:spacing w:before="280" w:after="283"/>
        <w:jc w:val="both"/>
        <w:rPr/>
      </w:pPr>
      <w:r>
        <w:rPr>
          <w:color w:val="000000"/>
        </w:rPr>
        <w:t>“</w:t>
      </w:r>
      <w:r>
        <w:rPr>
          <w:rFonts w:ascii="Times New Roman" w:hAnsi="Times New Roman"/>
          <w:i/>
          <w:color w:val="000000"/>
          <w:sz w:val="24"/>
        </w:rPr>
        <w:t>Loss”</w:t>
      </w:r>
      <w:r>
        <w:rPr>
          <w:rFonts w:ascii="Times New Roman" w:hAnsi="Times New Roman"/>
          <w:color w:val="000000"/>
          <w:sz w:val="20"/>
        </w:rPr>
        <w:t xml:space="preserve"> </w:t>
      </w:r>
      <w:r>
        <w:rPr>
          <w:rFonts w:ascii="Times New Roman" w:hAnsi="Times New Roman"/>
          <w:color w:val="000000"/>
          <w:sz w:val="24"/>
        </w:rPr>
        <w:t>means judgments, debts, liabilities, expenses, costs, damages or losses, contingent or otherwise, whether liquidated or unliquidated, matured or unmatured, disputed or undisputed, contractual, legal or equitable, including loss of value, professional fees and all costs incurred in investigating or pursuing any Claim or any proceeding relating to any Claim.</w:t>
      </w:r>
    </w:p>
    <w:p>
      <w:pPr>
        <w:pStyle w:val="TextBody"/>
        <w:bidi w:val="0"/>
        <w:spacing w:before="280" w:after="283"/>
        <w:jc w:val="both"/>
        <w:rPr/>
      </w:pPr>
      <w:r>
        <w:rPr>
          <w:color w:val="000000"/>
        </w:rPr>
        <w:t>“</w:t>
      </w:r>
      <w:r>
        <w:rPr>
          <w:rFonts w:ascii="Times New Roman" w:hAnsi="Times New Roman"/>
          <w:i/>
          <w:color w:val="000000"/>
          <w:sz w:val="24"/>
        </w:rPr>
        <w:t>Majority Lenders”</w:t>
      </w:r>
      <w:r>
        <w:rPr>
          <w:rFonts w:ascii="Times New Roman" w:hAnsi="Times New Roman"/>
          <w:color w:val="000000"/>
          <w:sz w:val="20"/>
        </w:rPr>
        <w:t xml:space="preserve"> </w:t>
      </w:r>
      <w:r>
        <w:rPr>
          <w:rFonts w:ascii="Times New Roman" w:hAnsi="Times New Roman"/>
          <w:color w:val="000000"/>
          <w:sz w:val="24"/>
        </w:rPr>
        <w:t>means, at any time, one or more Lenders having or holding Loan Exposure and representing more than 50% of the aggregate Loan Exposure of all Lenders.</w:t>
      </w:r>
    </w:p>
    <w:p>
      <w:pPr>
        <w:pStyle w:val="TextBody"/>
        <w:bidi w:val="0"/>
        <w:spacing w:before="280" w:after="283"/>
        <w:jc w:val="both"/>
        <w:rPr/>
      </w:pPr>
      <w:r>
        <w:rPr>
          <w:color w:val="000000"/>
        </w:rPr>
        <w:t>“</w:t>
      </w:r>
      <w:r>
        <w:rPr>
          <w:rFonts w:ascii="Times New Roman" w:hAnsi="Times New Roman"/>
          <w:i/>
          <w:color w:val="000000"/>
          <w:sz w:val="24"/>
        </w:rPr>
        <w:t>Margin Stock”</w:t>
      </w:r>
      <w:r>
        <w:rPr>
          <w:rFonts w:ascii="Times New Roman" w:hAnsi="Times New Roman"/>
          <w:color w:val="000000"/>
          <w:sz w:val="20"/>
        </w:rPr>
        <w:t xml:space="preserve"> </w:t>
      </w:r>
      <w:r>
        <w:rPr>
          <w:rFonts w:ascii="Times New Roman" w:hAnsi="Times New Roman"/>
          <w:color w:val="000000"/>
          <w:sz w:val="24"/>
        </w:rPr>
        <w:t>means “margin stock” within the meaning of Regulations U and X.</w:t>
      </w:r>
    </w:p>
    <w:p>
      <w:pPr>
        <w:pStyle w:val="TextBody"/>
        <w:bidi w:val="0"/>
        <w:spacing w:before="280" w:after="283"/>
        <w:jc w:val="both"/>
        <w:rPr/>
      </w:pPr>
      <w:r>
        <w:rPr>
          <w:color w:val="000000"/>
        </w:rPr>
        <w:t>“</w:t>
      </w:r>
      <w:r>
        <w:rPr>
          <w:rFonts w:ascii="Times New Roman" w:hAnsi="Times New Roman"/>
          <w:i/>
          <w:color w:val="000000"/>
          <w:sz w:val="24"/>
        </w:rPr>
        <w:t>Material Adverse Change”</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0"/>
        </w:rPr>
        <w:t>“</w:t>
      </w:r>
      <w:r>
        <w:rPr>
          <w:rFonts w:ascii="Times New Roman" w:hAnsi="Times New Roman"/>
          <w:i/>
          <w:color w:val="000000"/>
          <w:sz w:val="24"/>
        </w:rPr>
        <w:t>Material Adverse Effect”</w:t>
      </w:r>
      <w:r>
        <w:rPr>
          <w:rFonts w:ascii="Times New Roman" w:hAnsi="Times New Roman"/>
          <w:color w:val="000000"/>
          <w:sz w:val="20"/>
        </w:rPr>
        <w:t xml:space="preserve"> </w:t>
      </w:r>
      <w:r>
        <w:rPr>
          <w:rFonts w:ascii="Times New Roman" w:hAnsi="Times New Roman"/>
          <w:color w:val="000000"/>
          <w:sz w:val="24"/>
        </w:rPr>
        <w:t>mean a material adverse change in or effect on (a) the business, financial condition, operations, performance or Property of the Obligors taken as a whole, (b) the ability of any Obligor to perform its obligations under any Loan Document, (c) the value of the Property comprising Collateral (taken as a whole), or (d) the legality, validity, binding effect or enforceability of the Loan Documents or the rights and remedies of any Lender under any of the Loan Documents.</w:t>
      </w:r>
    </w:p>
    <w:p>
      <w:pPr>
        <w:pStyle w:val="TextBody"/>
        <w:bidi w:val="0"/>
        <w:spacing w:before="280" w:after="283"/>
        <w:jc w:val="both"/>
        <w:rPr/>
      </w:pPr>
      <w:r>
        <w:rPr>
          <w:color w:val="000000"/>
        </w:rPr>
        <w:t>“</w:t>
      </w:r>
      <w:r>
        <w:rPr>
          <w:rFonts w:ascii="Times New Roman" w:hAnsi="Times New Roman"/>
          <w:i/>
          <w:color w:val="000000"/>
          <w:sz w:val="24"/>
        </w:rPr>
        <w:t>Material Agreement”</w:t>
      </w:r>
      <w:r>
        <w:rPr>
          <w:rFonts w:ascii="Times New Roman" w:hAnsi="Times New Roman"/>
          <w:color w:val="000000"/>
          <w:sz w:val="20"/>
        </w:rPr>
        <w:t xml:space="preserve"> </w:t>
      </w:r>
      <w:r>
        <w:rPr>
          <w:rFonts w:ascii="Times New Roman" w:hAnsi="Times New Roman"/>
          <w:color w:val="000000"/>
          <w:sz w:val="24"/>
        </w:rPr>
        <w:t>means (a) any Contract which is listed in Schedule 7.14, (b) any other Contract to which any Obligor is a party or a beneficiary from time to time, or to which any assets or properties of any Obligor is bound, the loss or termination of which would reasonably be expected to result in a Material Adverse Effect and (c) any other Contract to which any Obligor is a party or a guarantor (or equivalent) whether existing as of the date hereof or in the future that during any period of twelve (12) consecutive months is reasonably expected to (i) result in payments or receipts (including royalty, licensing or similar payments) made to any Obligor in an aggregate amount in excess of $1,000,000 or (ii) require payments or expenditures (including royalty, licensing or similar payments) made by any Obligor in an aggregate amount in excess of $1,000,000.</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Material Indebtedness”</w:t>
      </w:r>
      <w:r>
        <w:rPr>
          <w:rFonts w:ascii="Times New Roman" w:hAnsi="Times New Roman"/>
          <w:color w:val="000000"/>
          <w:sz w:val="20"/>
        </w:rPr>
        <w:t xml:space="preserve"> </w:t>
      </w:r>
      <w:r>
        <w:rPr>
          <w:rFonts w:ascii="Times New Roman" w:hAnsi="Times New Roman"/>
          <w:color w:val="000000"/>
          <w:sz w:val="24"/>
        </w:rPr>
        <w:t>means, at any time, any Indebtedness of any Obligor, the outstanding principal amount of which, individually or in the aggregate, exceeds $500,000.</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Material Intellectual Property”</w:t>
      </w:r>
      <w:r>
        <w:rPr>
          <w:rFonts w:ascii="Times New Roman" w:hAnsi="Times New Roman"/>
          <w:color w:val="000000"/>
          <w:sz w:val="20"/>
        </w:rPr>
        <w:t xml:space="preserve"> </w:t>
      </w:r>
      <w:r>
        <w:rPr>
          <w:rFonts w:ascii="Times New Roman" w:hAnsi="Times New Roman"/>
          <w:color w:val="000000"/>
          <w:sz w:val="24"/>
        </w:rPr>
        <w:t>means all Obligor Intellectual Property, including those identified in Schedule 7.05(b), whether currently owned or licensed, or acquired, developed or otherwise licensed or obtained after the date hereof (a) necessary for the operation of the business of any Obligor as currently conducted or as currently contemplated to be conducted, (b) the loss of which would reasonably be expected to have or result in a Material Adverse Effect or (c) that has a fair market value in excess of $1,000,000.</w:t>
      </w:r>
    </w:p>
    <w:p>
      <w:pPr>
        <w:pStyle w:val="TextBody"/>
        <w:bidi w:val="0"/>
        <w:spacing w:before="280" w:after="283"/>
        <w:jc w:val="both"/>
        <w:rPr/>
      </w:pPr>
      <w:r>
        <w:rPr>
          <w:color w:val="000000"/>
        </w:rPr>
        <w:t>“</w:t>
      </w:r>
      <w:r>
        <w:rPr>
          <w:rFonts w:ascii="Times New Roman" w:hAnsi="Times New Roman"/>
          <w:i/>
          <w:color w:val="000000"/>
          <w:sz w:val="24"/>
        </w:rPr>
        <w:t>Maturity Date”</w:t>
      </w:r>
      <w:r>
        <w:rPr>
          <w:rFonts w:ascii="Times New Roman" w:hAnsi="Times New Roman"/>
          <w:color w:val="000000"/>
          <w:sz w:val="20"/>
        </w:rPr>
        <w:t xml:space="preserve"> </w:t>
      </w:r>
      <w:r>
        <w:rPr>
          <w:rFonts w:ascii="Times New Roman" w:hAnsi="Times New Roman"/>
          <w:color w:val="000000"/>
          <w:sz w:val="24"/>
        </w:rPr>
        <w:t>means the earlier to occur of (a) the Stated Maturity Date, and (b) the date on which the Term Loans are accelerated pursuant to Section 10.02.</w:t>
      </w:r>
    </w:p>
    <w:p>
      <w:pPr>
        <w:pStyle w:val="TextBody"/>
        <w:bidi w:val="0"/>
        <w:spacing w:before="280" w:after="283"/>
        <w:jc w:val="both"/>
        <w:rPr/>
      </w:pPr>
      <w:r>
        <w:rPr>
          <w:color w:val="000000"/>
        </w:rPr>
        <w:t>“</w:t>
      </w:r>
      <w:r>
        <w:rPr>
          <w:rFonts w:ascii="Times New Roman" w:hAnsi="Times New Roman"/>
          <w:i/>
          <w:color w:val="000000"/>
          <w:sz w:val="24"/>
        </w:rPr>
        <w:t>Multiemployer Plan”</w:t>
      </w:r>
      <w:r>
        <w:rPr>
          <w:rFonts w:ascii="Times New Roman" w:hAnsi="Times New Roman"/>
          <w:color w:val="000000"/>
          <w:sz w:val="20"/>
        </w:rPr>
        <w:t xml:space="preserve"> </w:t>
      </w:r>
      <w:r>
        <w:rPr>
          <w:rFonts w:ascii="Times New Roman" w:hAnsi="Times New Roman"/>
          <w:color w:val="000000"/>
          <w:sz w:val="24"/>
        </w:rPr>
        <w:t>means any “multiemployer plan”, as defined in Section 400l(a)(3) of ERISA, with respect to which any Obligor or ERISA Affiliate incurs, or otherwise has, any obligation or liability, contingent or otherwise.</w:t>
      </w:r>
    </w:p>
    <w:p>
      <w:pPr>
        <w:pStyle w:val="TextBody"/>
        <w:bidi w:val="0"/>
        <w:spacing w:before="280" w:after="283"/>
        <w:jc w:val="both"/>
        <w:rPr/>
      </w:pPr>
      <w:r>
        <w:rPr>
          <w:color w:val="000000"/>
        </w:rPr>
        <w:t>“</w:t>
      </w:r>
      <w:r>
        <w:rPr>
          <w:rFonts w:ascii="Times New Roman" w:hAnsi="Times New Roman"/>
          <w:i/>
          <w:color w:val="000000"/>
          <w:sz w:val="24"/>
        </w:rPr>
        <w:t>Net Cash Proceeds”</w:t>
      </w:r>
      <w:r>
        <w:rPr>
          <w:rFonts w:ascii="Times New Roman" w:hAnsi="Times New Roman"/>
          <w:color w:val="000000"/>
          <w:sz w:val="20"/>
        </w:rPr>
        <w:t xml:space="preserve"> </w:t>
      </w:r>
      <w:r>
        <w:rPr>
          <w:rFonts w:ascii="Times New Roman" w:hAnsi="Times New Roman"/>
          <w:color w:val="000000"/>
          <w:sz w:val="24"/>
        </w:rPr>
        <w:t>means,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with respect to any Casualty Event, the amount of cash proceeds actually received from time to time by or on behalf of such Obligor after deducting therefrom only (i) actual costs and expenses related thereto incurred by such Obligor and (ii) Taxes paid or payable in each case, in connection therewith or as a result thereof; and</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with respect to any Asset Sale, the excess, if any, of (i) cash proceeds received in respect of such Asset Sale (including cash proceeds subsequently 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respect to indemnity payments or price adjustments until such amounts are released to the applicable Obligor or any of its Subsidiaries.</w:t>
      </w:r>
    </w:p>
    <w:p>
      <w:pPr>
        <w:pStyle w:val="TextBody"/>
        <w:bidi w:val="0"/>
        <w:spacing w:before="280" w:after="283"/>
        <w:jc w:val="both"/>
        <w:rPr/>
      </w:pPr>
      <w:r>
        <w:rPr>
          <w:color w:val="000000"/>
        </w:rPr>
        <w:t>“</w:t>
      </w:r>
      <w:r>
        <w:rPr>
          <w:rFonts w:ascii="Times New Roman" w:hAnsi="Times New Roman"/>
          <w:i/>
          <w:color w:val="000000"/>
          <w:sz w:val="24"/>
        </w:rPr>
        <w:t xml:space="preserve">Net Revenue” </w:t>
      </w:r>
      <w:r>
        <w:rPr>
          <w:rFonts w:ascii="Times New Roman" w:hAnsi="Times New Roman"/>
          <w:color w:val="000000"/>
          <w:sz w:val="24"/>
        </w:rPr>
        <w:t>means, with respect to the Obligors, all amounts paid to and received by such Person in the Ordinary Course of Business that, in accordance with GAAP, would be classified as net revenue and shall be determined in a manner consistent with the methodologies, practices and procedures used in the preparation of the financial statements described in Section 7.04(a).</w:t>
      </w:r>
    </w:p>
    <w:p>
      <w:pPr>
        <w:pStyle w:val="TextBody"/>
        <w:bidi w:val="0"/>
        <w:spacing w:before="280" w:after="283"/>
        <w:jc w:val="both"/>
        <w:rPr/>
      </w:pPr>
      <w:r>
        <w:rPr>
          <w:color w:val="000000"/>
        </w:rPr>
        <w:t>“</w:t>
      </w:r>
      <w:r>
        <w:rPr>
          <w:rFonts w:ascii="Times New Roman" w:hAnsi="Times New Roman"/>
          <w:i/>
          <w:color w:val="000000"/>
          <w:sz w:val="24"/>
        </w:rPr>
        <w:t>Note”</w:t>
      </w:r>
      <w:r>
        <w:rPr>
          <w:rFonts w:ascii="Times New Roman" w:hAnsi="Times New Roman"/>
          <w:color w:val="000000"/>
          <w:sz w:val="20"/>
        </w:rPr>
        <w:t xml:space="preserve"> </w:t>
      </w:r>
      <w:r>
        <w:rPr>
          <w:rFonts w:ascii="Times New Roman" w:hAnsi="Times New Roman"/>
          <w:color w:val="000000"/>
          <w:sz w:val="24"/>
        </w:rPr>
        <w:t>means a promissory note executed and delivered by the Borrower to any Lender in the form attached hereto as Exhibit C.</w:t>
      </w:r>
    </w:p>
    <w:p>
      <w:pPr>
        <w:pStyle w:val="TextBody"/>
        <w:bidi w:val="0"/>
        <w:spacing w:before="280" w:after="283"/>
        <w:jc w:val="both"/>
        <w:rPr/>
      </w:pPr>
      <w:r>
        <w:rPr>
          <w:color w:val="000000"/>
        </w:rPr>
        <w:t>“</w:t>
      </w:r>
      <w:r>
        <w:rPr>
          <w:rFonts w:ascii="Times New Roman" w:hAnsi="Times New Roman"/>
          <w:i/>
          <w:color w:val="000000"/>
          <w:sz w:val="24"/>
        </w:rPr>
        <w:t>Obligations”</w:t>
      </w:r>
      <w:r>
        <w:rPr>
          <w:rFonts w:ascii="Times New Roman" w:hAnsi="Times New Roman"/>
          <w:color w:val="000000"/>
          <w:sz w:val="20"/>
        </w:rPr>
        <w:t xml:space="preserve"> </w:t>
      </w:r>
      <w:r>
        <w:rPr>
          <w:rFonts w:ascii="Times New Roman" w:hAnsi="Times New Roman"/>
          <w:color w:val="000000"/>
          <w:sz w:val="24"/>
        </w:rPr>
        <w:t>means, with respect to any Obligor, all amounts, obligations (including, without limitation, all Warrant 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w:t>
        <w:noBreakHyphen/>
        <w:t>filing or post</w:t>
        <w:noBreakHyphen/>
        <w:t>petition interest is allowed in any such proceeding, (c) any Prepayment Premium, (d) the Exit Fee and (e) all other fees, expenses (including fees, charges and disbursement of counsel), interest, commissions, charges, costs, disbursements, indemnities and reimbursement of amounts paid and other sums chargeable to such Obligor under any Loan Document.</w:t>
      </w:r>
    </w:p>
    <w:p>
      <w:pPr>
        <w:pStyle w:val="TextBody"/>
        <w:bidi w:val="0"/>
        <w:spacing w:before="280" w:after="283"/>
        <w:jc w:val="both"/>
        <w:rPr/>
      </w:pPr>
      <w:r>
        <w:rPr>
          <w:color w:val="000000"/>
        </w:rPr>
        <w:t>“</w:t>
      </w:r>
      <w:r>
        <w:rPr>
          <w:rFonts w:ascii="Times New Roman" w:hAnsi="Times New Roman"/>
          <w:i/>
          <w:color w:val="000000"/>
          <w:sz w:val="24"/>
        </w:rPr>
        <w:t>Obligor Intellectual Property”</w:t>
      </w:r>
      <w:r>
        <w:rPr>
          <w:rFonts w:ascii="Times New Roman" w:hAnsi="Times New Roman"/>
          <w:color w:val="000000"/>
          <w:sz w:val="20"/>
        </w:rPr>
        <w:t xml:space="preserve"> </w:t>
      </w:r>
      <w:r>
        <w:rPr>
          <w:rFonts w:ascii="Times New Roman" w:hAnsi="Times New Roman"/>
          <w:color w:val="000000"/>
          <w:sz w:val="24"/>
        </w:rPr>
        <w:t>means, at any time of determination, Intellectual Property owned by, licensed to or otherwise held by any Obligor at such time including, without limitation, the Intellectual Property listed on Schedule 7.05(b).</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Obligors”</w:t>
      </w:r>
      <w:r>
        <w:rPr>
          <w:rFonts w:ascii="Times New Roman" w:hAnsi="Times New Roman"/>
          <w:color w:val="000000"/>
          <w:sz w:val="20"/>
        </w:rPr>
        <w:t xml:space="preserve"> </w:t>
      </w:r>
      <w:r>
        <w:rPr>
          <w:rFonts w:ascii="Times New Roman" w:hAnsi="Times New Roman"/>
          <w:color w:val="000000"/>
          <w:sz w:val="24"/>
        </w:rPr>
        <w:t>means, collectively, the Borrower and each Guarantor.</w:t>
      </w:r>
    </w:p>
    <w:p>
      <w:pPr>
        <w:pStyle w:val="TextBody"/>
        <w:bidi w:val="0"/>
        <w:spacing w:before="280" w:after="283"/>
        <w:jc w:val="both"/>
        <w:rPr/>
      </w:pPr>
      <w:r>
        <w:rPr>
          <w:color w:val="000000"/>
        </w:rPr>
        <w:t>“</w:t>
      </w:r>
      <w:r>
        <w:rPr>
          <w:rFonts w:ascii="Times New Roman" w:hAnsi="Times New Roman"/>
          <w:i/>
          <w:color w:val="000000"/>
          <w:sz w:val="24"/>
        </w:rPr>
        <w:t>OFAC”</w:t>
      </w:r>
      <w:r>
        <w:rPr>
          <w:rFonts w:ascii="Times New Roman" w:hAnsi="Times New Roman"/>
          <w:color w:val="000000"/>
          <w:sz w:val="20"/>
        </w:rPr>
        <w:t xml:space="preserve"> </w:t>
      </w:r>
      <w:r>
        <w:rPr>
          <w:rFonts w:ascii="Times New Roman" w:hAnsi="Times New Roman"/>
          <w:color w:val="000000"/>
          <w:sz w:val="24"/>
        </w:rPr>
        <w:t>means the Office of Foreign Assets Control of the U.S. Department of the Treasury (or any successor thereto).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pPr>
      <w:r>
        <w:rPr>
          <w:color w:val="000000"/>
        </w:rPr>
        <w:t>“</w:t>
      </w:r>
      <w:r>
        <w:rPr>
          <w:rFonts w:ascii="Times New Roman" w:hAnsi="Times New Roman"/>
          <w:i/>
          <w:color w:val="000000"/>
          <w:sz w:val="24"/>
        </w:rPr>
        <w:t>Ordinary Course of Business”</w:t>
      </w:r>
      <w:r>
        <w:rPr>
          <w:rFonts w:ascii="Times New Roman" w:hAnsi="Times New Roman"/>
          <w:color w:val="000000"/>
          <w:sz w:val="20"/>
        </w:rPr>
        <w:t xml:space="preserve"> </w:t>
      </w:r>
      <w:r>
        <w:rPr>
          <w:rFonts w:ascii="Times New Roman" w:hAnsi="Times New Roman"/>
          <w:color w:val="000000"/>
          <w:sz w:val="24"/>
        </w:rPr>
        <w:t>means, with respect to the Obligors, the ordinary course of business generally consistent with past custom and practice (including with respect to nature, scope, magnitude, quantity and frequency).</w:t>
      </w:r>
    </w:p>
    <w:p>
      <w:pPr>
        <w:pStyle w:val="TextBody"/>
        <w:bidi w:val="0"/>
        <w:spacing w:before="280" w:after="283"/>
        <w:jc w:val="both"/>
        <w:rPr/>
      </w:pPr>
      <w:r>
        <w:rPr>
          <w:color w:val="000000"/>
        </w:rPr>
        <w:t>“</w:t>
      </w:r>
      <w:r>
        <w:rPr>
          <w:rFonts w:ascii="Times New Roman" w:hAnsi="Times New Roman"/>
          <w:i/>
          <w:color w:val="000000"/>
          <w:sz w:val="24"/>
        </w:rPr>
        <w:t>Organizational Documents”</w:t>
      </w:r>
      <w:r>
        <w:rPr>
          <w:rFonts w:ascii="Times New Roman" w:hAnsi="Times New Roman"/>
          <w:color w:val="000000"/>
          <w:sz w:val="20"/>
        </w:rPr>
        <w:t xml:space="preserve"> </w:t>
      </w:r>
      <w:r>
        <w:rPr>
          <w:rFonts w:ascii="Times New Roman" w:hAnsi="Times New Roman"/>
          <w:color w:val="000000"/>
          <w:sz w:val="24"/>
        </w:rPr>
        <w:t>means (a) with respect to any corporation, its certificate or articles of incorporation or 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any such “Organizational Document” shall only be to a document of a type customarily certified by such government official.</w:t>
      </w:r>
    </w:p>
    <w:p>
      <w:pPr>
        <w:pStyle w:val="TextBody"/>
        <w:bidi w:val="0"/>
        <w:spacing w:before="280" w:after="283"/>
        <w:jc w:val="both"/>
        <w:rPr/>
      </w:pPr>
      <w:r>
        <w:rPr>
          <w:color w:val="000000"/>
        </w:rPr>
        <w:t>“</w:t>
      </w:r>
      <w:r>
        <w:rPr>
          <w:rFonts w:ascii="Times New Roman" w:hAnsi="Times New Roman"/>
          <w:i/>
          <w:color w:val="000000"/>
          <w:sz w:val="24"/>
        </w:rPr>
        <w:t>Other Connection Taxes”</w:t>
      </w:r>
      <w:r>
        <w:rPr>
          <w:rFonts w:ascii="Times New Roman" w:hAnsi="Times New Roman"/>
          <w:color w:val="000000"/>
          <w:sz w:val="20"/>
        </w:rPr>
        <w:t xml:space="preserve"> </w:t>
      </w:r>
      <w:r>
        <w:rPr>
          <w:rFonts w:ascii="Times New Roman" w:hAnsi="Times New Roman"/>
          <w:color w:val="000000"/>
          <w:sz w:val="24"/>
        </w:rPr>
        <w:t>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pStyle w:val="TextBody"/>
        <w:bidi w:val="0"/>
        <w:spacing w:before="280" w:after="283"/>
        <w:jc w:val="both"/>
        <w:rPr/>
      </w:pPr>
      <w:r>
        <w:rPr>
          <w:color w:val="000000"/>
        </w:rPr>
        <w:t>“</w:t>
      </w:r>
      <w:r>
        <w:rPr>
          <w:rFonts w:ascii="Times New Roman" w:hAnsi="Times New Roman"/>
          <w:i/>
          <w:color w:val="000000"/>
          <w:sz w:val="24"/>
        </w:rPr>
        <w:t>Other Taxes”</w:t>
      </w:r>
      <w:r>
        <w:rPr>
          <w:rFonts w:ascii="Times New Roman" w:hAnsi="Times New Roman"/>
          <w:color w:val="000000"/>
          <w:sz w:val="20"/>
        </w:rPr>
        <w:t xml:space="preserve"> </w:t>
      </w:r>
      <w:r>
        <w:rPr>
          <w:rFonts w:ascii="Times New Roman" w:hAnsi="Times New Roman"/>
          <w:color w:val="000000"/>
          <w:sz w:val="24"/>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5.03(g)).</w:t>
      </w:r>
    </w:p>
    <w:p>
      <w:pPr>
        <w:pStyle w:val="TextBody"/>
        <w:bidi w:val="0"/>
        <w:spacing w:before="280" w:after="283"/>
        <w:jc w:val="both"/>
        <w:rPr/>
      </w:pPr>
      <w:r>
        <w:rPr>
          <w:color w:val="000000"/>
        </w:rPr>
        <w:t>“</w:t>
      </w:r>
      <w:r>
        <w:rPr>
          <w:rFonts w:ascii="Times New Roman" w:hAnsi="Times New Roman"/>
          <w:i/>
          <w:color w:val="000000"/>
          <w:sz w:val="24"/>
        </w:rPr>
        <w:t>Participant”</w:t>
      </w:r>
      <w:r>
        <w:rPr>
          <w:rFonts w:ascii="Times New Roman" w:hAnsi="Times New Roman"/>
          <w:color w:val="000000"/>
          <w:sz w:val="20"/>
        </w:rPr>
        <w:t xml:space="preserve"> </w:t>
      </w:r>
      <w:r>
        <w:rPr>
          <w:rFonts w:ascii="Times New Roman" w:hAnsi="Times New Roman"/>
          <w:color w:val="000000"/>
          <w:sz w:val="24"/>
        </w:rPr>
        <w:t>has the meaning set forth in Section 13.05(e).</w:t>
      </w:r>
    </w:p>
    <w:p>
      <w:pPr>
        <w:pStyle w:val="TextBody"/>
        <w:bidi w:val="0"/>
        <w:spacing w:before="280" w:after="283"/>
        <w:jc w:val="both"/>
        <w:rPr/>
      </w:pPr>
      <w:r>
        <w:rPr>
          <w:color w:val="000000"/>
        </w:rPr>
        <w:t>“</w:t>
      </w:r>
      <w:r>
        <w:rPr>
          <w:rFonts w:ascii="Times New Roman" w:hAnsi="Times New Roman"/>
          <w:i/>
          <w:color w:val="000000"/>
          <w:sz w:val="24"/>
        </w:rPr>
        <w:t>Participant Register”</w:t>
      </w:r>
      <w:r>
        <w:rPr>
          <w:rFonts w:ascii="Times New Roman" w:hAnsi="Times New Roman"/>
          <w:color w:val="000000"/>
          <w:sz w:val="20"/>
        </w:rPr>
        <w:t xml:space="preserve"> </w:t>
      </w:r>
      <w:r>
        <w:rPr>
          <w:rFonts w:ascii="Times New Roman" w:hAnsi="Times New Roman"/>
          <w:color w:val="000000"/>
          <w:sz w:val="24"/>
        </w:rPr>
        <w:t>has the meaning set forth in Section 13.05(f).</w:t>
      </w:r>
    </w:p>
    <w:p>
      <w:pPr>
        <w:pStyle w:val="TextBody"/>
        <w:bidi w:val="0"/>
        <w:spacing w:before="280" w:after="283"/>
        <w:jc w:val="both"/>
        <w:rPr/>
      </w:pPr>
      <w:r>
        <w:rPr>
          <w:color w:val="000000"/>
        </w:rPr>
        <w:t>“</w:t>
      </w:r>
      <w:r>
        <w:rPr>
          <w:rFonts w:ascii="Times New Roman" w:hAnsi="Times New Roman"/>
          <w:i/>
          <w:color w:val="000000"/>
          <w:sz w:val="24"/>
        </w:rPr>
        <w:t>Patents”</w:t>
      </w:r>
      <w:r>
        <w:rPr>
          <w:rFonts w:ascii="Times New Roman" w:hAnsi="Times New Roman"/>
          <w:color w:val="000000"/>
          <w:sz w:val="20"/>
        </w:rPr>
        <w:t xml:space="preserve"> </w:t>
      </w:r>
      <w:r>
        <w:rPr>
          <w:rFonts w:ascii="Times New Roman" w:hAnsi="Times New Roman"/>
          <w:color w:val="000000"/>
          <w:sz w:val="24"/>
        </w:rPr>
        <w:t>has the meaning set forth in the Security Documents.</w:t>
      </w:r>
    </w:p>
    <w:p>
      <w:pPr>
        <w:pStyle w:val="TextBody"/>
        <w:bidi w:val="0"/>
        <w:spacing w:before="280" w:after="283"/>
        <w:jc w:val="both"/>
        <w:rPr/>
      </w:pPr>
      <w:r>
        <w:rPr>
          <w:color w:val="000000"/>
        </w:rPr>
        <w:t>“</w:t>
      </w:r>
      <w:r>
        <w:rPr>
          <w:rFonts w:ascii="Times New Roman" w:hAnsi="Times New Roman"/>
          <w:i/>
          <w:color w:val="000000"/>
          <w:sz w:val="24"/>
        </w:rPr>
        <w:t>Payment Date”</w:t>
      </w:r>
      <w:r>
        <w:rPr>
          <w:rFonts w:ascii="Times New Roman" w:hAnsi="Times New Roman"/>
          <w:color w:val="000000"/>
          <w:sz w:val="20"/>
        </w:rPr>
        <w:t xml:space="preserve"> </w:t>
      </w:r>
      <w:r>
        <w:rPr>
          <w:rFonts w:ascii="Times New Roman" w:hAnsi="Times New Roman"/>
          <w:color w:val="000000"/>
          <w:sz w:val="24"/>
        </w:rPr>
        <w:t xml:space="preserve">means the last day of each Interest Period;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last day of such Interest Period is not a Business Day, then the Payment Date for such Interest Period will be the next succeeding Business Day.</w:t>
      </w:r>
    </w:p>
    <w:p>
      <w:pPr>
        <w:pStyle w:val="TextBody"/>
        <w:bidi w:val="0"/>
        <w:spacing w:before="280" w:after="283"/>
        <w:jc w:val="both"/>
        <w:rPr/>
      </w:pPr>
      <w:r>
        <w:rPr>
          <w:color w:val="000000"/>
        </w:rPr>
        <w:t>“</w:t>
      </w:r>
      <w:r>
        <w:rPr>
          <w:rFonts w:ascii="Times New Roman" w:hAnsi="Times New Roman"/>
          <w:i/>
          <w:color w:val="000000"/>
          <w:sz w:val="24"/>
        </w:rPr>
        <w:t>PBGC”</w:t>
      </w:r>
      <w:r>
        <w:rPr>
          <w:rFonts w:ascii="Times New Roman" w:hAnsi="Times New Roman"/>
          <w:color w:val="000000"/>
          <w:sz w:val="20"/>
        </w:rPr>
        <w:t xml:space="preserve"> </w:t>
      </w:r>
      <w:r>
        <w:rPr>
          <w:rFonts w:ascii="Times New Roman" w:hAnsi="Times New Roman"/>
          <w:color w:val="000000"/>
          <w:sz w:val="24"/>
        </w:rPr>
        <w:t>means the United States Pension Benefit Guaranty Corporation referred to and defined in ERISA and any successor entity performing similar functions.</w:t>
      </w:r>
    </w:p>
    <w:p>
      <w:pPr>
        <w:pStyle w:val="TextBody"/>
        <w:bidi w:val="0"/>
        <w:spacing w:before="280" w:after="283"/>
        <w:jc w:val="both"/>
        <w:rPr/>
      </w:pPr>
      <w:r>
        <w:rPr>
          <w:color w:val="000000"/>
        </w:rPr>
        <w:t>“</w:t>
      </w:r>
      <w:r>
        <w:rPr>
          <w:rFonts w:ascii="Times New Roman" w:hAnsi="Times New Roman"/>
          <w:i/>
          <w:color w:val="000000"/>
          <w:sz w:val="24"/>
        </w:rPr>
        <w:t>Perceptive</w:t>
      </w:r>
      <w:r>
        <w:rPr>
          <w:rFonts w:ascii="Times New Roman" w:hAnsi="Times New Roman"/>
          <w:color w:val="000000"/>
          <w:sz w:val="20"/>
        </w:rPr>
        <w:t xml:space="preserve">” </w:t>
      </w:r>
      <w:r>
        <w:rPr>
          <w:rFonts w:ascii="Times New Roman" w:hAnsi="Times New Roman"/>
          <w:color w:val="000000"/>
          <w:sz w:val="24"/>
        </w:rPr>
        <w:t>has the meaning set forth in the introduction hereto.</w:t>
      </w:r>
    </w:p>
    <w:p>
      <w:pPr>
        <w:pStyle w:val="TextBody"/>
        <w:bidi w:val="0"/>
        <w:spacing w:before="280" w:after="283"/>
        <w:jc w:val="both"/>
        <w:rPr/>
      </w:pPr>
      <w:r>
        <w:rPr>
          <w:color w:val="000000"/>
        </w:rPr>
        <w:t>“</w:t>
      </w:r>
      <w:r>
        <w:rPr>
          <w:rFonts w:ascii="Times New Roman" w:hAnsi="Times New Roman"/>
          <w:i/>
          <w:color w:val="000000"/>
          <w:sz w:val="24"/>
        </w:rPr>
        <w:t xml:space="preserve">Periodic Term SOFR Determination Day” </w:t>
      </w:r>
      <w:r>
        <w:rPr>
          <w:rFonts w:ascii="Times New Roman" w:hAnsi="Times New Roman"/>
          <w:color w:val="000000"/>
          <w:sz w:val="24"/>
        </w:rPr>
        <w:t>has the meaning specified in the definition of “Term SOFR.”</w:t>
      </w:r>
    </w:p>
    <w:p>
      <w:pPr>
        <w:pStyle w:val="TextBody"/>
        <w:bidi w:val="0"/>
        <w:spacing w:before="280" w:after="283"/>
        <w:jc w:val="both"/>
        <w:rPr/>
      </w:pPr>
      <w:r>
        <w:rPr>
          <w:color w:val="000000"/>
        </w:rPr>
        <w:t>“</w:t>
      </w:r>
      <w:r>
        <w:rPr>
          <w:rFonts w:ascii="Times New Roman" w:hAnsi="Times New Roman"/>
          <w:i/>
          <w:color w:val="000000"/>
          <w:sz w:val="24"/>
        </w:rPr>
        <w:t>Permits”</w:t>
      </w:r>
      <w:r>
        <w:rPr>
          <w:rFonts w:ascii="Times New Roman" w:hAnsi="Times New Roman"/>
          <w:color w:val="000000"/>
          <w:sz w:val="20"/>
        </w:rPr>
        <w:t xml:space="preserve"> </w:t>
      </w:r>
      <w:r>
        <w:rPr>
          <w:rFonts w:ascii="Times New Roman" w:hAnsi="Times New Roman"/>
          <w:color w:val="000000"/>
          <w:sz w:val="24"/>
        </w:rPr>
        <w:t>means all permits, licenses, registrations, certificates, orders, approvals, authorizations, consents, waivers, franchises, variances and similar rights issued by or obtained from any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Governmental Authority or any other Person, including, without limitation, those relating to Environmental Laws and Health Care Laws and Regulatory Approvals.</w:t>
      </w:r>
    </w:p>
    <w:p>
      <w:pPr>
        <w:pStyle w:val="TextBody"/>
        <w:bidi w:val="0"/>
        <w:spacing w:before="280" w:after="283"/>
        <w:jc w:val="both"/>
        <w:rPr/>
      </w:pPr>
      <w:r>
        <w:rPr>
          <w:color w:val="000000"/>
        </w:rPr>
        <w:t>“</w:t>
      </w:r>
      <w:r>
        <w:rPr>
          <w:rFonts w:ascii="Times New Roman" w:hAnsi="Times New Roman"/>
          <w:i/>
          <w:color w:val="000000"/>
          <w:sz w:val="24"/>
        </w:rPr>
        <w:t>Permitted Acquisition”</w:t>
      </w:r>
      <w:r>
        <w:rPr>
          <w:rFonts w:ascii="Times New Roman" w:hAnsi="Times New Roman"/>
          <w:color w:val="000000"/>
          <w:sz w:val="20"/>
        </w:rPr>
        <w:t xml:space="preserve"> </w:t>
      </w:r>
      <w:r>
        <w:rPr>
          <w:rFonts w:ascii="Times New Roman" w:hAnsi="Times New Roman"/>
          <w:color w:val="000000"/>
          <w:sz w:val="24"/>
        </w:rPr>
        <w:t xml:space="preserve">means any Acquisition by any Obligor or any of its wholly-owned Subsidiaries, by (a) purchase, merger, amalgamation,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over the counter software license arrangements);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32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immediately prior to, and immediately after giving effect thereto, no Default or Event of Default shall have occurred and be continuing or would result therefrom;</w:t>
      </w:r>
    </w:p>
    <w:p>
      <w:pPr>
        <w:pStyle w:val="TextBody"/>
        <w:bidi w:val="0"/>
        <w:spacing w:before="32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all transactions in connection therewith shall be consummated, in all material respects, in accordance with all applicable Laws and in conformity in all material respects with all applicable Governmental Approvals;</w:t>
      </w:r>
    </w:p>
    <w:p>
      <w:pPr>
        <w:pStyle w:val="TextBody"/>
        <w:bidi w:val="0"/>
        <w:spacing w:before="32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the Borrower shall have taken, or caused to be taken, as of the date such Person becomes a Subsidiary of an Obligor, each of the actions set forth in Section 8.11, if applicable;</w:t>
      </w:r>
      <w:r>
        <w:rPr>
          <w:rFonts w:ascii="Times New Roman" w:hAnsi="Times New Roman"/>
          <w:color w:val="000000"/>
          <w:sz w:val="20"/>
        </w:rPr>
        <w:t xml:space="preserve"> </w:t>
      </w:r>
    </w:p>
    <w:p>
      <w:pPr>
        <w:pStyle w:val="TextBody"/>
        <w:bidi w:val="0"/>
        <w:spacing w:before="32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such Person (in the case of an Acquisition of Equity Interests) or assets (in the case of an Acquisition of assets or a division) (A) shall be engaged or used, as the case may be, in the same business or lines of business in which the Borrower and/or its Subsidiaries are engaged or a business reasonably and substantially related thereto or (B) shall have a similar customer base as the Borrower and/or its Subsidiaries;</w:t>
      </w:r>
      <w:r>
        <w:rPr>
          <w:rFonts w:ascii="Times New Roman" w:hAnsi="Times New Roman"/>
          <w:color w:val="000000"/>
          <w:sz w:val="20"/>
        </w:rPr>
        <w:t xml:space="preserve"> </w:t>
      </w:r>
    </w:p>
    <w:p>
      <w:pPr>
        <w:pStyle w:val="TextBody"/>
        <w:bidi w:val="0"/>
        <w:spacing w:before="32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the Borrower shall have provided the Administrative Agent with at least ten (10) Business Days’ prior written notice of any such Acquisition, together with</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summaries, prepared in reasonable detail, of all due diligence conducted by or on behalf of the Borrower or the applicable Subsidiary prior to such Acquisition;</w:t>
      </w:r>
    </w:p>
    <w:p>
      <w:pPr>
        <w:pStyle w:val="TextBody"/>
        <w:bidi w:val="0"/>
        <w:spacing w:before="32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all of the assets or Equity Interests acquired in connection with such Acquisition shall be of a U.S. Person;</w:t>
      </w:r>
    </w:p>
    <w:p>
      <w:pPr>
        <w:pStyle w:val="TextBody"/>
        <w:bidi w:val="0"/>
        <w:spacing w:before="320" w:after="283"/>
        <w:jc w:val="both"/>
        <w:rPr>
          <w:rFonts w:ascii="Times New Roman" w:hAnsi="Times New Roman"/>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the Acquisition shall have been approved by the Board or other governing body or controlling Person of the Person acquired or the Person from whom such assets or division is acquired; and</w:t>
      </w:r>
    </w:p>
    <w:p>
      <w:pPr>
        <w:pStyle w:val="TextBody"/>
        <w:bidi w:val="0"/>
        <w:spacing w:before="320" w:after="283"/>
        <w:jc w:val="both"/>
        <w:rPr>
          <w:rFonts w:ascii="Times New Roman" w:hAnsi="Times New Roman"/>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 xml:space="preserve">on a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basis after giving effect to such Acquisition, the Obligors shall be in compliance with Sections 8.15(a) and 8.15(b).</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Permitted Cash Equivalent Investments”</w:t>
      </w:r>
      <w:r>
        <w:rPr>
          <w:rFonts w:ascii="Times New Roman" w:hAnsi="Times New Roman"/>
          <w:color w:val="000000"/>
          <w:sz w:val="20"/>
        </w:rPr>
        <w:t xml:space="preserve"> </w:t>
      </w:r>
      <w:r>
        <w:rPr>
          <w:rFonts w:ascii="Times New Roman" w:hAnsi="Times New Roman"/>
          <w:color w:val="000000"/>
          <w:sz w:val="24"/>
        </w:rPr>
        <w:t>means (a) marketable direct obligations issued or unconditionally guaranteed by the United States or any agency or any State thereof having maturities of not more than two (2) years from the date of acquisition, (b) commercial paper with an average maturity of no more than one (1) year and having the highest rating from either Standard &amp; Poor’s Ratings Group or Moody’s Investors Service, Inc., (c) any money market funds or other investment vehicles whose principal investments are in investments described in clauses (a) or (b) above, and (d) certificates of deposit maturing no more than one (1) year after issue</w:t>
      </w:r>
    </w:p>
    <w:p>
      <w:pPr>
        <w:pStyle w:val="TextBody"/>
        <w:bidi w:val="0"/>
        <w:spacing w:before="280" w:after="283"/>
        <w:jc w:val="both"/>
        <w:rPr/>
      </w:pPr>
      <w:r>
        <w:rPr>
          <w:color w:val="000000"/>
        </w:rPr>
        <w:t>“</w:t>
      </w:r>
      <w:r>
        <w:rPr>
          <w:rFonts w:ascii="Times New Roman" w:hAnsi="Times New Roman"/>
          <w:i/>
          <w:color w:val="000000"/>
          <w:sz w:val="24"/>
        </w:rPr>
        <w:t>Permitted Indebtedness”</w:t>
      </w:r>
      <w:r>
        <w:rPr>
          <w:rFonts w:ascii="Times New Roman" w:hAnsi="Times New Roman"/>
          <w:color w:val="000000"/>
          <w:sz w:val="20"/>
        </w:rPr>
        <w:t xml:space="preserve"> </w:t>
      </w:r>
      <w:r>
        <w:rPr>
          <w:rFonts w:ascii="Times New Roman" w:hAnsi="Times New Roman"/>
          <w:color w:val="000000"/>
          <w:sz w:val="24"/>
        </w:rPr>
        <w:t>means any Indebtedness permitted under Section 9.01.</w:t>
      </w:r>
    </w:p>
    <w:p>
      <w:pPr>
        <w:pStyle w:val="TextBody"/>
        <w:bidi w:val="0"/>
        <w:spacing w:before="280" w:after="283"/>
        <w:jc w:val="both"/>
        <w:rPr/>
      </w:pPr>
      <w:r>
        <w:rPr>
          <w:color w:val="000000"/>
        </w:rPr>
        <w:t>“</w:t>
      </w:r>
      <w:r>
        <w:rPr>
          <w:rFonts w:ascii="Times New Roman" w:hAnsi="Times New Roman"/>
          <w:i/>
          <w:color w:val="000000"/>
          <w:sz w:val="24"/>
        </w:rPr>
        <w:t>Permitted Licenses”</w:t>
      </w:r>
      <w:r>
        <w:rPr>
          <w:rFonts w:ascii="Times New Roman" w:hAnsi="Times New Roman"/>
          <w:color w:val="000000"/>
          <w:sz w:val="20"/>
        </w:rPr>
        <w:t xml:space="preserve"> </w:t>
      </w:r>
      <w:r>
        <w:rPr>
          <w:rFonts w:ascii="Times New Roman" w:hAnsi="Times New Roman"/>
          <w:color w:val="000000"/>
          <w:sz w:val="24"/>
        </w:rPr>
        <w:t>means (a) licenses of over-the-counter software that is commercially available to the public, (b) inbound licenses for the use of any Patents, Trademarks, Copyrights, Industrial Designs and Technical Information of any third party and (c) non-exclusive licenses for the use of Obligor Intellectual Property, in each case, entered into in the Ordinary Course of Business or as otherwise may be approved by the applicable Obligor’s Board and so long as (i) no Event of Default has occurred and is continuing at the time such license is entered into and (ii) such license does not materially impair the Lenders from exercising their rights under any of the Loan Documents.</w:t>
      </w:r>
    </w:p>
    <w:p>
      <w:pPr>
        <w:pStyle w:val="TextBody"/>
        <w:bidi w:val="0"/>
        <w:spacing w:before="280" w:after="283"/>
        <w:jc w:val="both"/>
        <w:rPr/>
      </w:pPr>
      <w:r>
        <w:rPr>
          <w:color w:val="000000"/>
        </w:rPr>
        <w:t>“</w:t>
      </w:r>
      <w:r>
        <w:rPr>
          <w:rFonts w:ascii="Times New Roman" w:hAnsi="Times New Roman"/>
          <w:i/>
          <w:color w:val="000000"/>
          <w:sz w:val="24"/>
        </w:rPr>
        <w:t>Permitted Liens”</w:t>
      </w:r>
      <w:r>
        <w:rPr>
          <w:rFonts w:ascii="Times New Roman" w:hAnsi="Times New Roman"/>
          <w:color w:val="000000"/>
          <w:sz w:val="20"/>
        </w:rPr>
        <w:t xml:space="preserve"> </w:t>
      </w:r>
      <w:r>
        <w:rPr>
          <w:rFonts w:ascii="Times New Roman" w:hAnsi="Times New Roman"/>
          <w:color w:val="000000"/>
          <w:sz w:val="24"/>
        </w:rPr>
        <w:t>means any Liens permitted under Section 9.02.</w:t>
      </w:r>
    </w:p>
    <w:p>
      <w:pPr>
        <w:pStyle w:val="TextBody"/>
        <w:bidi w:val="0"/>
        <w:spacing w:before="280" w:after="283"/>
        <w:jc w:val="both"/>
        <w:rPr/>
      </w:pPr>
      <w:r>
        <w:rPr>
          <w:color w:val="000000"/>
        </w:rPr>
        <w:t>“</w:t>
      </w:r>
      <w:r>
        <w:rPr>
          <w:rFonts w:ascii="Times New Roman" w:hAnsi="Times New Roman"/>
          <w:i/>
          <w:color w:val="000000"/>
          <w:sz w:val="24"/>
        </w:rPr>
        <w:t>Permitted Refinancing”</w:t>
      </w:r>
      <w:r>
        <w:rPr>
          <w:rFonts w:ascii="Times New Roman" w:hAnsi="Times New Roman"/>
          <w:color w:val="000000"/>
          <w:sz w:val="20"/>
        </w:rPr>
        <w:t xml:space="preserve"> </w:t>
      </w:r>
      <w:r>
        <w:rPr>
          <w:rFonts w:ascii="Times New Roman" w:hAnsi="Times New Roman"/>
          <w:color w:val="000000"/>
          <w:sz w:val="24"/>
        </w:rPr>
        <w:t xml:space="preserve">means, with respect to any Indebtedness permitted to be refinanced, extended, renewed or replaced hereunder, any refinancings, extensions, renewals and replacements of such Indebtedness;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refinancing, extension, renewal or replacement shall not (a) increase the outstanding principal amount of the Indebtedness being refinanced, extended, renewed or replaced, (b) contain terms relating to outstanding principal amount, amortization, interest rate or equivalent yield, maturity, collateral security (if any) or subordination (if any), or other material terms that, taken as a whole, are less 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after giving effect to such refinancing, extension, renewal or replacement, no Default shall have occurred (or could reasonably be expected to occur) as a result thereof.</w:t>
      </w:r>
    </w:p>
    <w:p>
      <w:pPr>
        <w:pStyle w:val="TextBody"/>
        <w:bidi w:val="0"/>
        <w:spacing w:before="280" w:after="283"/>
        <w:jc w:val="both"/>
        <w:rPr/>
      </w:pPr>
      <w:r>
        <w:rPr>
          <w:color w:val="000000"/>
        </w:rPr>
        <w:t>“</w:t>
      </w:r>
      <w:r>
        <w:rPr>
          <w:rFonts w:ascii="Times New Roman" w:hAnsi="Times New Roman"/>
          <w:i/>
          <w:color w:val="000000"/>
          <w:sz w:val="24"/>
        </w:rPr>
        <w:t>Person”</w:t>
      </w:r>
      <w:r>
        <w:rPr>
          <w:rFonts w:ascii="Times New Roman" w:hAnsi="Times New Roman"/>
          <w:color w:val="000000"/>
          <w:sz w:val="20"/>
        </w:rPr>
        <w:t xml:space="preserve"> </w:t>
      </w:r>
      <w:r>
        <w:rPr>
          <w:rFonts w:ascii="Times New Roman" w:hAnsi="Times New Roman"/>
          <w:color w:val="000000"/>
          <w:sz w:val="24"/>
        </w:rPr>
        <w:t>means any individual, corporation, company, voluntary association, partnership, limited liability company, joint venture, trust, unincorporated organization or Governmental Authority or other entity of whatever nature.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pPr>
      <w:r>
        <w:rPr>
          <w:color w:val="000000"/>
        </w:rPr>
        <w:t>“</w:t>
      </w:r>
      <w:r>
        <w:rPr>
          <w:rFonts w:ascii="Times New Roman" w:hAnsi="Times New Roman"/>
          <w:i/>
          <w:color w:val="000000"/>
          <w:sz w:val="24"/>
        </w:rPr>
        <w:t>PFIC”</w:t>
      </w:r>
      <w:r>
        <w:rPr>
          <w:rFonts w:ascii="Times New Roman" w:hAnsi="Times New Roman"/>
          <w:color w:val="000000"/>
          <w:sz w:val="20"/>
        </w:rPr>
        <w:t xml:space="preserve"> </w:t>
      </w:r>
      <w:r>
        <w:rPr>
          <w:rFonts w:ascii="Times New Roman" w:hAnsi="Times New Roman"/>
          <w:color w:val="000000"/>
          <w:sz w:val="24"/>
        </w:rPr>
        <w:t>has the meaning set forth in Section 8.01(i).</w:t>
      </w:r>
    </w:p>
    <w:p>
      <w:pPr>
        <w:pStyle w:val="TextBody"/>
        <w:bidi w:val="0"/>
        <w:spacing w:before="280" w:after="283"/>
        <w:jc w:val="both"/>
        <w:rPr/>
      </w:pPr>
      <w:r>
        <w:rPr>
          <w:color w:val="000000"/>
        </w:rPr>
        <w:t>“</w:t>
      </w:r>
      <w:r>
        <w:rPr>
          <w:rFonts w:ascii="Times New Roman" w:hAnsi="Times New Roman"/>
          <w:i/>
          <w:color w:val="000000"/>
          <w:sz w:val="24"/>
        </w:rPr>
        <w:t>Prepayment Premium”</w:t>
      </w:r>
      <w:r>
        <w:rPr>
          <w:rFonts w:ascii="Times New Roman" w:hAnsi="Times New Roman"/>
          <w:color w:val="000000"/>
          <w:sz w:val="20"/>
        </w:rPr>
        <w:t xml:space="preserve"> </w:t>
      </w:r>
      <w:r>
        <w:rPr>
          <w:rFonts w:ascii="Times New Roman" w:hAnsi="Times New Roman"/>
          <w:color w:val="000000"/>
          <w:sz w:val="24"/>
        </w:rPr>
        <w:t>has the meaning set forth in Section 3.03(a).</w:t>
      </w:r>
    </w:p>
    <w:p>
      <w:pPr>
        <w:pStyle w:val="TextBody"/>
        <w:bidi w:val="0"/>
        <w:spacing w:before="280" w:after="283"/>
        <w:jc w:val="both"/>
        <w:rPr/>
      </w:pPr>
      <w:r>
        <w:rPr>
          <w:color w:val="000000"/>
        </w:rPr>
        <w:t>“</w:t>
      </w:r>
      <w:r>
        <w:rPr>
          <w:rFonts w:ascii="Times New Roman" w:hAnsi="Times New Roman"/>
          <w:i/>
          <w:color w:val="000000"/>
          <w:sz w:val="24"/>
        </w:rPr>
        <w:t>Pro Rata Share”</w:t>
      </w:r>
      <w:r>
        <w:rPr>
          <w:rFonts w:ascii="Times New Roman" w:hAnsi="Times New Roman"/>
          <w:color w:val="000000"/>
          <w:sz w:val="20"/>
        </w:rPr>
        <w:t xml:space="preserve"> </w:t>
      </w:r>
      <w:r>
        <w:rPr>
          <w:rFonts w:ascii="Times New Roman" w:hAnsi="Times New Roman"/>
          <w:color w:val="000000"/>
          <w:sz w:val="24"/>
        </w:rPr>
        <w:t>has the meaning set forth in Section 11.08.</w:t>
      </w:r>
    </w:p>
    <w:p>
      <w:pPr>
        <w:pStyle w:val="TextBody"/>
        <w:bidi w:val="0"/>
        <w:spacing w:before="280" w:after="283"/>
        <w:jc w:val="both"/>
        <w:rPr/>
      </w:pPr>
      <w:r>
        <w:rPr>
          <w:color w:val="000000"/>
        </w:rPr>
        <w:t>“</w:t>
      </w:r>
      <w:r>
        <w:rPr>
          <w:rFonts w:ascii="Times New Roman" w:hAnsi="Times New Roman"/>
          <w:i/>
          <w:color w:val="000000"/>
          <w:sz w:val="24"/>
        </w:rPr>
        <w:t>Product”</w:t>
      </w:r>
      <w:r>
        <w:rPr>
          <w:rFonts w:ascii="Times New Roman" w:hAnsi="Times New Roman"/>
          <w:color w:val="000000"/>
          <w:sz w:val="20"/>
        </w:rPr>
        <w:t xml:space="preserve"> </w:t>
      </w:r>
      <w:r>
        <w:rPr>
          <w:rFonts w:ascii="Times New Roman" w:hAnsi="Times New Roman"/>
          <w:color w:val="000000"/>
          <w:sz w:val="24"/>
        </w:rPr>
        <w:t>means (a) those Devices set forth (and described in reasonable detail) on Schedule 3 attached hereto, and (b) any current or future product or service subject to any Product Development and Commercialization Activities by any Obligor, including any such Device or other product or service currently in development.</w:t>
      </w:r>
    </w:p>
    <w:p>
      <w:pPr>
        <w:pStyle w:val="TextBody"/>
        <w:bidi w:val="0"/>
        <w:spacing w:before="280" w:after="283"/>
        <w:jc w:val="both"/>
        <w:rPr/>
      </w:pPr>
      <w:r>
        <w:rPr>
          <w:color w:val="000000"/>
        </w:rPr>
        <w:t>“</w:t>
      </w:r>
      <w:r>
        <w:rPr>
          <w:rFonts w:ascii="Times New Roman" w:hAnsi="Times New Roman"/>
          <w:i/>
          <w:color w:val="000000"/>
          <w:sz w:val="24"/>
        </w:rPr>
        <w:t>Product Agreement”</w:t>
      </w:r>
      <w:r>
        <w:rPr>
          <w:rFonts w:ascii="Times New Roman" w:hAnsi="Times New Roman"/>
          <w:color w:val="000000"/>
          <w:sz w:val="20"/>
        </w:rPr>
        <w:t xml:space="preserve"> </w:t>
      </w:r>
      <w:r>
        <w:rPr>
          <w:rFonts w:ascii="Times New Roman" w:hAnsi="Times New Roman"/>
          <w:color w:val="000000"/>
          <w:sz w:val="24"/>
        </w:rPr>
        <w:t>means, with respect to any Product, any Contract, license, document, instrument, interest (equity or otherwise) or the 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pStyle w:val="TextBody"/>
        <w:bidi w:val="0"/>
        <w:spacing w:before="280" w:after="283"/>
        <w:jc w:val="both"/>
        <w:rPr/>
      </w:pPr>
      <w:r>
        <w:rPr>
          <w:color w:val="000000"/>
        </w:rPr>
        <w:t>“</w:t>
      </w:r>
      <w:r>
        <w:rPr>
          <w:rFonts w:ascii="Times New Roman" w:hAnsi="Times New Roman"/>
          <w:i/>
          <w:color w:val="000000"/>
          <w:sz w:val="24"/>
        </w:rPr>
        <w:t>Product Assets”</w:t>
      </w:r>
      <w:r>
        <w:rPr>
          <w:rFonts w:ascii="Times New Roman" w:hAnsi="Times New Roman"/>
          <w:color w:val="000000"/>
          <w:sz w:val="20"/>
        </w:rPr>
        <w:t xml:space="preserve"> </w:t>
      </w:r>
      <w:r>
        <w:rPr>
          <w:rFonts w:ascii="Times New Roman" w:hAnsi="Times New Roman"/>
          <w:color w:val="000000"/>
          <w:sz w:val="24"/>
        </w:rPr>
        <w:t>means, with respect to any Product, (a) any and all rights, title and interest of the Obligors or any of their Subsidiaries in any assets relating to such Product or any Product Development and Commercialization Activities with respect to such Product, (b) any related Product Development and Commercialization Activities, (c) any Product Agreement related to such Product or any such Product Development and Commercialization Activities, (d) any Intellectual Property, Regulatory Approvals and similar assets with respect to such Product or any such Product Development and Commercialization Activities, and (e) all rights, title and interests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pStyle w:val="TextBody"/>
        <w:bidi w:val="0"/>
        <w:spacing w:before="280" w:after="283"/>
        <w:jc w:val="both"/>
        <w:rPr/>
      </w:pPr>
      <w:r>
        <w:rPr>
          <w:color w:val="000000"/>
        </w:rPr>
        <w:t>“</w:t>
      </w:r>
      <w:r>
        <w:rPr>
          <w:rFonts w:ascii="Times New Roman" w:hAnsi="Times New Roman"/>
          <w:i/>
          <w:color w:val="000000"/>
          <w:sz w:val="24"/>
        </w:rPr>
        <w:t>Product Authorizations”</w:t>
      </w:r>
      <w:r>
        <w:rPr>
          <w:rFonts w:ascii="Times New Roman" w:hAnsi="Times New Roman"/>
          <w:color w:val="000000"/>
          <w:sz w:val="20"/>
        </w:rPr>
        <w:t xml:space="preserve"> </w:t>
      </w:r>
      <w:r>
        <w:rPr>
          <w:rFonts w:ascii="Times New Roman" w:hAnsi="Times New Roman"/>
          <w:color w:val="000000"/>
          <w:sz w:val="24"/>
        </w:rPr>
        <w:t>means any and all Regulatory Approvals (including all applicable Device Clearance Applications, supplements, amendments, governmental price and reimbursement approvals and approvals of applications for regulatory exclusivity), licenses, registrations, safety or quality specifications and standards, or any other authorizations of any applicable Regulatory Authority in each case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whether U.S. or non</w:t>
        <w:noBreakHyphen/>
        <w:t>U.S.</w:t>
      </w:r>
    </w:p>
    <w:p>
      <w:pPr>
        <w:pStyle w:val="TextBody"/>
        <w:bidi w:val="0"/>
        <w:spacing w:before="280" w:after="283"/>
        <w:jc w:val="both"/>
        <w:rPr/>
      </w:pPr>
      <w:r>
        <w:rPr>
          <w:color w:val="000000"/>
        </w:rPr>
        <w:t>“</w:t>
      </w:r>
      <w:r>
        <w:rPr>
          <w:rFonts w:ascii="Times New Roman" w:hAnsi="Times New Roman"/>
          <w:i/>
          <w:color w:val="000000"/>
          <w:sz w:val="24"/>
        </w:rPr>
        <w:t>Product Development and Commercialization Activities”</w:t>
      </w:r>
      <w:r>
        <w:rPr>
          <w:rFonts w:ascii="Times New Roman" w:hAnsi="Times New Roman"/>
          <w:color w:val="000000"/>
          <w:sz w:val="20"/>
        </w:rPr>
        <w:t xml:space="preserve"> </w:t>
      </w:r>
      <w:r>
        <w:rPr>
          <w:rFonts w:ascii="Times New Roman" w:hAnsi="Times New Roman"/>
          <w:color w:val="000000"/>
          <w:sz w:val="24"/>
        </w:rPr>
        <w:t>means, with respect to any Product, any combination of 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pStyle w:val="TextBody"/>
        <w:bidi w:val="0"/>
        <w:spacing w:before="280" w:after="283"/>
        <w:jc w:val="both"/>
        <w:rPr/>
      </w:pPr>
      <w:r>
        <w:rPr>
          <w:color w:val="000000"/>
        </w:rPr>
        <w:t>“</w:t>
      </w:r>
      <w:r>
        <w:rPr>
          <w:rFonts w:ascii="Times New Roman" w:hAnsi="Times New Roman"/>
          <w:i/>
          <w:color w:val="000000"/>
          <w:sz w:val="24"/>
        </w:rPr>
        <w:t>Prohibited Payment”</w:t>
      </w:r>
      <w:r>
        <w:rPr>
          <w:rFonts w:ascii="Times New Roman" w:hAnsi="Times New Roman"/>
          <w:color w:val="000000"/>
          <w:sz w:val="20"/>
        </w:rPr>
        <w:t xml:space="preserve"> </w:t>
      </w:r>
      <w:r>
        <w:rPr>
          <w:rFonts w:ascii="Times New Roman" w:hAnsi="Times New Roman"/>
          <w:color w:val="000000"/>
          <w:sz w:val="24"/>
        </w:rPr>
        <w:t>means any bribe, rebate, payoff, influence payment, kickback or other payment or gift of money or anything of value (including meals or entertainment) to any officer,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employee or ceremonial office holder of any government or instrumentality thereof, political party or supra</w:t>
        <w:noBreakHyphen/>
        <w:t>national organization (such as the United Nations), any political candidate, any royal family member or any other person who is connected or associated personally with any of the foregoing that is prohibited under any Requirement of Law.</w:t>
      </w:r>
    </w:p>
    <w:p>
      <w:pPr>
        <w:pStyle w:val="TextBody"/>
        <w:bidi w:val="0"/>
        <w:spacing w:before="280" w:after="283"/>
        <w:jc w:val="both"/>
        <w:rPr/>
      </w:pPr>
      <w:r>
        <w:rPr>
          <w:color w:val="000000"/>
        </w:rPr>
        <w:t>“</w:t>
      </w:r>
      <w:r>
        <w:rPr>
          <w:rFonts w:ascii="Times New Roman" w:hAnsi="Times New Roman"/>
          <w:i/>
          <w:color w:val="000000"/>
          <w:sz w:val="24"/>
        </w:rPr>
        <w:t>Projections”</w:t>
      </w:r>
      <w:r>
        <w:rPr>
          <w:rFonts w:ascii="Times New Roman" w:hAnsi="Times New Roman"/>
          <w:color w:val="000000"/>
          <w:sz w:val="20"/>
        </w:rPr>
        <w:t xml:space="preserve"> </w:t>
      </w:r>
      <w:r>
        <w:rPr>
          <w:rFonts w:ascii="Times New Roman" w:hAnsi="Times New Roman"/>
          <w:color w:val="000000"/>
          <w:sz w:val="24"/>
        </w:rPr>
        <w:t>has the meaning set forth in Section 7.04(b).</w:t>
      </w:r>
    </w:p>
    <w:p>
      <w:pPr>
        <w:pStyle w:val="TextBody"/>
        <w:bidi w:val="0"/>
        <w:spacing w:before="280" w:after="283"/>
        <w:jc w:val="both"/>
        <w:rPr/>
      </w:pPr>
      <w:r>
        <w:rPr>
          <w:color w:val="000000"/>
        </w:rPr>
        <w:t>“</w:t>
      </w:r>
      <w:r>
        <w:rPr>
          <w:rFonts w:ascii="Times New Roman" w:hAnsi="Times New Roman"/>
          <w:i/>
          <w:color w:val="000000"/>
          <w:sz w:val="24"/>
        </w:rPr>
        <w:t>Property”</w:t>
      </w:r>
      <w:r>
        <w:rPr>
          <w:rFonts w:ascii="Times New Roman" w:hAnsi="Times New Roman"/>
          <w:color w:val="000000"/>
          <w:sz w:val="20"/>
        </w:rPr>
        <w:t xml:space="preserve"> </w:t>
      </w:r>
      <w:r>
        <w:rPr>
          <w:rFonts w:ascii="Times New Roman" w:hAnsi="Times New Roman"/>
          <w:color w:val="000000"/>
          <w:sz w:val="24"/>
        </w:rPr>
        <w:t>of any Person means any property or assets, or interest therein, of such Person.</w:t>
      </w:r>
    </w:p>
    <w:p>
      <w:pPr>
        <w:pStyle w:val="TextBody"/>
        <w:bidi w:val="0"/>
        <w:spacing w:before="280" w:after="283"/>
        <w:jc w:val="both"/>
        <w:rPr/>
      </w:pPr>
      <w:r>
        <w:rPr>
          <w:color w:val="000000"/>
        </w:rPr>
        <w:t>“</w:t>
      </w:r>
      <w:r>
        <w:rPr>
          <w:rFonts w:ascii="Times New Roman" w:hAnsi="Times New Roman"/>
          <w:i/>
          <w:color w:val="000000"/>
          <w:sz w:val="24"/>
        </w:rPr>
        <w:t>Proportionate Share”</w:t>
      </w:r>
      <w:r>
        <w:rPr>
          <w:rFonts w:ascii="Times New Roman" w:hAnsi="Times New Roman"/>
          <w:color w:val="000000"/>
          <w:sz w:val="20"/>
        </w:rPr>
        <w:t xml:space="preserve"> </w:t>
      </w:r>
      <w:r>
        <w:rPr>
          <w:rFonts w:ascii="Times New Roman" w:hAnsi="Times New Roman"/>
          <w:color w:val="000000"/>
          <w:sz w:val="24"/>
        </w:rPr>
        <w:t>means, with respect to any Lender, the percentage obtained by dividing (a) the Loan Exposure of such Lender then in effect by (b) the aggregate Loan Exposure of all Lenders then in effect.</w:t>
      </w:r>
    </w:p>
    <w:p>
      <w:pPr>
        <w:pStyle w:val="TextBody"/>
        <w:bidi w:val="0"/>
        <w:jc w:val="left"/>
        <w:rPr/>
      </w:pPr>
      <w:r>
        <w:rPr/>
        <w:t> </w:t>
      </w:r>
    </w:p>
    <w:p>
      <w:pPr>
        <w:pStyle w:val="TextBody"/>
        <w:bidi w:val="0"/>
        <w:jc w:val="both"/>
        <w:rPr/>
      </w:pPr>
      <w:r>
        <w:rPr>
          <w:color w:val="000000"/>
        </w:rPr>
        <w:t>“</w:t>
      </w:r>
      <w:r>
        <w:rPr>
          <w:rFonts w:ascii="Times New Roman" w:hAnsi="Times New Roman"/>
          <w:i/>
          <w:color w:val="000000"/>
          <w:sz w:val="24"/>
        </w:rPr>
        <w:t xml:space="preserve">Proposal Letter” </w:t>
      </w:r>
      <w:r>
        <w:rPr>
          <w:rFonts w:ascii="Times New Roman" w:hAnsi="Times New Roman"/>
          <w:color w:val="000000"/>
          <w:sz w:val="24"/>
        </w:rPr>
        <w:t>means the letter agreement, dated December 15, 2025, among the Borrower and Perceptive Advisors LLC, regarding the transactions contemplated hereby and the outline of proposed terms and conditions attached thereto.</w:t>
      </w:r>
    </w:p>
    <w:p>
      <w:pPr>
        <w:pStyle w:val="TextBody"/>
        <w:bidi w:val="0"/>
        <w:spacing w:before="200" w:after="283"/>
        <w:jc w:val="both"/>
        <w:rPr/>
      </w:pPr>
      <w:r>
        <w:rPr>
          <w:color w:val="000000"/>
        </w:rPr>
        <w:t>“</w:t>
      </w:r>
      <w:r>
        <w:rPr>
          <w:rFonts w:ascii="Times New Roman" w:hAnsi="Times New Roman"/>
          <w:i/>
          <w:color w:val="000000"/>
          <w:sz w:val="24"/>
        </w:rPr>
        <w:t>Publicly Reporting Company”</w:t>
      </w:r>
      <w:r>
        <w:rPr>
          <w:rFonts w:ascii="Times New Roman" w:hAnsi="Times New Roman"/>
          <w:color w:val="000000"/>
          <w:sz w:val="20"/>
        </w:rPr>
        <w:t xml:space="preserve"> </w:t>
      </w:r>
      <w:r>
        <w:rPr>
          <w:rFonts w:ascii="Times New Roman" w:hAnsi="Times New Roman"/>
          <w:color w:val="000000"/>
          <w:sz w:val="24"/>
        </w:rPr>
        <w:t>means an issuer generally subject to the public reporting requirements of the Exchange Act.</w:t>
      </w:r>
    </w:p>
    <w:p>
      <w:pPr>
        <w:pStyle w:val="TextBody"/>
        <w:bidi w:val="0"/>
        <w:spacing w:before="200" w:after="283"/>
        <w:jc w:val="both"/>
        <w:rPr/>
      </w:pPr>
      <w:r>
        <w:rPr>
          <w:color w:val="000000"/>
        </w:rPr>
        <w:t>“</w:t>
      </w:r>
      <w:r>
        <w:rPr>
          <w:rFonts w:ascii="Times New Roman" w:hAnsi="Times New Roman"/>
          <w:i/>
          <w:color w:val="000000"/>
          <w:sz w:val="24"/>
        </w:rPr>
        <w:t>Qualified Equity Interest”</w:t>
      </w:r>
      <w:r>
        <w:rPr>
          <w:rFonts w:ascii="Times New Roman" w:hAnsi="Times New Roman"/>
          <w:color w:val="000000"/>
          <w:sz w:val="20"/>
        </w:rPr>
        <w:t xml:space="preserve"> </w:t>
      </w:r>
      <w:r>
        <w:rPr>
          <w:rFonts w:ascii="Times New Roman" w:hAnsi="Times New Roman"/>
          <w:color w:val="000000"/>
          <w:sz w:val="24"/>
        </w:rPr>
        <w:t>means, with respect to any Person, any Equity Interest of such Person that is not a Disqualified Equity Interest.</w:t>
      </w:r>
    </w:p>
    <w:p>
      <w:pPr>
        <w:pStyle w:val="TextBody"/>
        <w:bidi w:val="0"/>
        <w:spacing w:before="200" w:after="283"/>
        <w:jc w:val="both"/>
        <w:rPr/>
      </w:pPr>
      <w:r>
        <w:rPr>
          <w:color w:val="000000"/>
        </w:rPr>
        <w:t>“</w:t>
      </w:r>
      <w:r>
        <w:rPr>
          <w:rFonts w:ascii="Times New Roman" w:hAnsi="Times New Roman"/>
          <w:i/>
          <w:color w:val="000000"/>
          <w:sz w:val="24"/>
        </w:rPr>
        <w:t>Recipient”</w:t>
      </w:r>
      <w:r>
        <w:rPr>
          <w:rFonts w:ascii="Times New Roman" w:hAnsi="Times New Roman"/>
          <w:color w:val="000000"/>
          <w:sz w:val="20"/>
        </w:rPr>
        <w:t xml:space="preserve"> </w:t>
      </w:r>
      <w:r>
        <w:rPr>
          <w:rFonts w:ascii="Times New Roman" w:hAnsi="Times New Roman"/>
          <w:color w:val="000000"/>
          <w:sz w:val="24"/>
        </w:rPr>
        <w:t>means any Lender or the Administrative Agent.</w:t>
      </w:r>
    </w:p>
    <w:p>
      <w:pPr>
        <w:pStyle w:val="TextBody"/>
        <w:bidi w:val="0"/>
        <w:spacing w:before="200" w:after="283"/>
        <w:jc w:val="both"/>
        <w:rPr/>
      </w:pPr>
      <w:r>
        <w:rPr>
          <w:color w:val="000000"/>
        </w:rPr>
        <w:t>“</w:t>
      </w:r>
      <w:r>
        <w:rPr>
          <w:rFonts w:ascii="Times New Roman" w:hAnsi="Times New Roman"/>
          <w:i/>
          <w:color w:val="000000"/>
          <w:sz w:val="24"/>
        </w:rPr>
        <w:t>Redemption Date”</w:t>
      </w:r>
      <w:r>
        <w:rPr>
          <w:rFonts w:ascii="Times New Roman" w:hAnsi="Times New Roman"/>
          <w:color w:val="000000"/>
          <w:sz w:val="20"/>
        </w:rPr>
        <w:t xml:space="preserve"> </w:t>
      </w:r>
      <w:r>
        <w:rPr>
          <w:rFonts w:ascii="Times New Roman" w:hAnsi="Times New Roman"/>
          <w:color w:val="000000"/>
          <w:sz w:val="24"/>
        </w:rPr>
        <w:t>has the meaning set forth in Section 3.03(a).</w:t>
      </w:r>
    </w:p>
    <w:p>
      <w:pPr>
        <w:pStyle w:val="TextBody"/>
        <w:bidi w:val="0"/>
        <w:spacing w:before="200" w:after="283"/>
        <w:jc w:val="both"/>
        <w:rPr/>
      </w:pPr>
      <w:r>
        <w:rPr>
          <w:color w:val="000000"/>
        </w:rPr>
        <w:t>“</w:t>
      </w:r>
      <w:r>
        <w:rPr>
          <w:rFonts w:ascii="Times New Roman" w:hAnsi="Times New Roman"/>
          <w:i/>
          <w:color w:val="000000"/>
          <w:sz w:val="24"/>
        </w:rPr>
        <w:t>Redemption Price”</w:t>
      </w:r>
      <w:r>
        <w:rPr>
          <w:rFonts w:ascii="Times New Roman" w:hAnsi="Times New Roman"/>
          <w:color w:val="000000"/>
          <w:sz w:val="20"/>
        </w:rPr>
        <w:t xml:space="preserve"> </w:t>
      </w:r>
      <w:r>
        <w:rPr>
          <w:rFonts w:ascii="Times New Roman" w:hAnsi="Times New Roman"/>
          <w:color w:val="000000"/>
          <w:sz w:val="24"/>
        </w:rPr>
        <w:t>has the meaning set forth in Section 3.03(a).</w:t>
      </w:r>
      <w:r>
        <w:rPr>
          <w:rFonts w:ascii="Times New Roman" w:hAnsi="Times New Roman"/>
          <w:color w:val="000000"/>
          <w:sz w:val="20"/>
        </w:rPr>
        <w:t xml:space="preserve"> </w:t>
      </w:r>
    </w:p>
    <w:p>
      <w:pPr>
        <w:pStyle w:val="TextBody"/>
        <w:bidi w:val="0"/>
        <w:spacing w:before="200" w:after="283"/>
        <w:jc w:val="both"/>
        <w:rPr/>
      </w:pPr>
      <w:r>
        <w:rPr>
          <w:color w:val="000000"/>
        </w:rPr>
        <w:t>“</w:t>
      </w:r>
      <w:r>
        <w:rPr>
          <w:rFonts w:ascii="Times New Roman" w:hAnsi="Times New Roman"/>
          <w:i/>
          <w:color w:val="000000"/>
          <w:sz w:val="24"/>
        </w:rPr>
        <w:t xml:space="preserve">Referral Source” </w:t>
      </w:r>
      <w:r>
        <w:rPr>
          <w:rFonts w:ascii="Times New Roman" w:hAnsi="Times New Roman"/>
          <w:color w:val="000000"/>
          <w:sz w:val="24"/>
        </w:rPr>
        <w:t>has the meaning set forth in Section 7.07(b)(i).</w:t>
      </w:r>
    </w:p>
    <w:p>
      <w:pPr>
        <w:pStyle w:val="TextBody"/>
        <w:bidi w:val="0"/>
        <w:spacing w:before="200" w:after="283"/>
        <w:jc w:val="both"/>
        <w:rPr/>
      </w:pPr>
      <w:r>
        <w:rPr>
          <w:color w:val="000000"/>
        </w:rPr>
        <w:t>“</w:t>
      </w:r>
      <w:r>
        <w:rPr>
          <w:rFonts w:ascii="Times New Roman" w:hAnsi="Times New Roman"/>
          <w:i/>
          <w:color w:val="000000"/>
          <w:sz w:val="24"/>
        </w:rPr>
        <w:t>Register”</w:t>
      </w:r>
      <w:r>
        <w:rPr>
          <w:rFonts w:ascii="Times New Roman" w:hAnsi="Times New Roman"/>
          <w:color w:val="000000"/>
          <w:sz w:val="20"/>
        </w:rPr>
        <w:t xml:space="preserve"> </w:t>
      </w:r>
      <w:r>
        <w:rPr>
          <w:rFonts w:ascii="Times New Roman" w:hAnsi="Times New Roman"/>
          <w:color w:val="000000"/>
          <w:sz w:val="24"/>
        </w:rPr>
        <w:t>has the meaning set forth in Section 13.05(d).</w:t>
      </w:r>
    </w:p>
    <w:p>
      <w:pPr>
        <w:pStyle w:val="TextBody"/>
        <w:bidi w:val="0"/>
        <w:spacing w:before="200" w:after="283"/>
        <w:jc w:val="both"/>
        <w:rPr/>
      </w:pPr>
      <w:r>
        <w:rPr>
          <w:color w:val="000000"/>
        </w:rPr>
        <w:t>“</w:t>
      </w:r>
      <w:r>
        <w:rPr>
          <w:rFonts w:ascii="Times New Roman" w:hAnsi="Times New Roman"/>
          <w:i/>
          <w:color w:val="000000"/>
          <w:sz w:val="24"/>
        </w:rPr>
        <w:t>Regulated Product Laws”</w:t>
      </w:r>
      <w:r>
        <w:rPr>
          <w:rFonts w:ascii="Times New Roman" w:hAnsi="Times New Roman"/>
          <w:color w:val="000000"/>
          <w:sz w:val="20"/>
        </w:rPr>
        <w:t xml:space="preserve"> </w:t>
      </w:r>
      <w:r>
        <w:rPr>
          <w:rFonts w:ascii="Times New Roman" w:hAnsi="Times New Roman"/>
          <w:color w:val="000000"/>
          <w:sz w:val="24"/>
        </w:rPr>
        <w:t>means (a) FDA Laws and (b) all applicable statutes, rules, regulations and orders administered or issued by any other applicable non-U.S. Regulatory Authority equivalent of the FDA, including without limitation, the European Medicines Agency, and the Japan Pharmaceutical and Medical Devices Agency.</w:t>
      </w:r>
    </w:p>
    <w:p>
      <w:pPr>
        <w:pStyle w:val="TextBody"/>
        <w:bidi w:val="0"/>
        <w:spacing w:before="200" w:after="283"/>
        <w:jc w:val="both"/>
        <w:rPr/>
      </w:pPr>
      <w:r>
        <w:rPr>
          <w:color w:val="000000"/>
        </w:rPr>
        <w:t>“</w:t>
      </w:r>
      <w:r>
        <w:rPr>
          <w:rFonts w:ascii="Times New Roman" w:hAnsi="Times New Roman"/>
          <w:i/>
          <w:color w:val="000000"/>
          <w:sz w:val="24"/>
        </w:rPr>
        <w:t>Regulation T”</w:t>
      </w:r>
      <w:r>
        <w:rPr>
          <w:rFonts w:ascii="Times New Roman" w:hAnsi="Times New Roman"/>
          <w:color w:val="000000"/>
          <w:sz w:val="20"/>
        </w:rPr>
        <w:t xml:space="preserve"> </w:t>
      </w:r>
      <w:r>
        <w:rPr>
          <w:rFonts w:ascii="Times New Roman" w:hAnsi="Times New Roman"/>
          <w:color w:val="000000"/>
          <w:sz w:val="24"/>
        </w:rPr>
        <w:t>means Regulation T of the Board of Governors of the Federal Reserve System, as amended.</w:t>
      </w:r>
    </w:p>
    <w:p>
      <w:pPr>
        <w:pStyle w:val="TextBody"/>
        <w:bidi w:val="0"/>
        <w:spacing w:before="200" w:after="283"/>
        <w:jc w:val="both"/>
        <w:rPr/>
      </w:pPr>
      <w:r>
        <w:rPr>
          <w:color w:val="000000"/>
        </w:rPr>
        <w:t>“</w:t>
      </w:r>
      <w:r>
        <w:rPr>
          <w:rFonts w:ascii="Times New Roman" w:hAnsi="Times New Roman"/>
          <w:i/>
          <w:color w:val="000000"/>
          <w:sz w:val="24"/>
        </w:rPr>
        <w:t>Regulation U”</w:t>
      </w:r>
      <w:r>
        <w:rPr>
          <w:rFonts w:ascii="Times New Roman" w:hAnsi="Times New Roman"/>
          <w:color w:val="000000"/>
          <w:sz w:val="20"/>
        </w:rPr>
        <w:t xml:space="preserve"> </w:t>
      </w:r>
      <w:r>
        <w:rPr>
          <w:rFonts w:ascii="Times New Roman" w:hAnsi="Times New Roman"/>
          <w:color w:val="000000"/>
          <w:sz w:val="24"/>
        </w:rPr>
        <w:t>means Regulation U of the Board of Governors of the Federal Reserve System, as amended.</w:t>
      </w:r>
    </w:p>
    <w:p>
      <w:pPr>
        <w:pStyle w:val="TextBody"/>
        <w:bidi w:val="0"/>
        <w:spacing w:before="200" w:after="283"/>
        <w:jc w:val="both"/>
        <w:rPr/>
      </w:pPr>
      <w:r>
        <w:rPr>
          <w:color w:val="000000"/>
        </w:rPr>
        <w:t>“</w:t>
      </w:r>
      <w:r>
        <w:rPr>
          <w:rFonts w:ascii="Times New Roman" w:hAnsi="Times New Roman"/>
          <w:i/>
          <w:color w:val="000000"/>
          <w:sz w:val="24"/>
        </w:rPr>
        <w:t>Regulation X”</w:t>
      </w:r>
      <w:r>
        <w:rPr>
          <w:rFonts w:ascii="Times New Roman" w:hAnsi="Times New Roman"/>
          <w:color w:val="000000"/>
          <w:sz w:val="20"/>
        </w:rPr>
        <w:t xml:space="preserve"> </w:t>
      </w:r>
      <w:r>
        <w:rPr>
          <w:rFonts w:ascii="Times New Roman" w:hAnsi="Times New Roman"/>
          <w:color w:val="000000"/>
          <w:sz w:val="24"/>
        </w:rPr>
        <w:t>means Regulation X of the Board of Governors of the Federal Reserve System, as amended.</w:t>
      </w:r>
    </w:p>
    <w:p>
      <w:pPr>
        <w:pStyle w:val="TextBody"/>
        <w:bidi w:val="0"/>
        <w:spacing w:before="200" w:after="283"/>
        <w:jc w:val="both"/>
        <w:rPr/>
      </w:pPr>
      <w:r>
        <w:rPr>
          <w:color w:val="000000"/>
        </w:rPr>
        <w:t>“</w:t>
      </w:r>
      <w:r>
        <w:rPr>
          <w:rFonts w:ascii="Times New Roman" w:hAnsi="Times New Roman"/>
          <w:i/>
          <w:color w:val="000000"/>
          <w:sz w:val="24"/>
        </w:rPr>
        <w:t>Regulatory Approvals”</w:t>
      </w:r>
      <w:r>
        <w:rPr>
          <w:rFonts w:ascii="Times New Roman" w:hAnsi="Times New Roman"/>
          <w:color w:val="000000"/>
          <w:sz w:val="20"/>
        </w:rPr>
        <w:t xml:space="preserve"> </w:t>
      </w:r>
      <w:r>
        <w:rPr>
          <w:rFonts w:ascii="Times New Roman" w:hAnsi="Times New Roman"/>
          <w:color w:val="000000"/>
          <w:sz w:val="24"/>
        </w:rPr>
        <w:t>means any Governmental Approval relating to any Product or any Product Development and Commercialization Activities related to such Product, including any Product Authorizations with respect thereto.</w:t>
      </w:r>
    </w:p>
    <w:p>
      <w:pPr>
        <w:pStyle w:val="TextBody"/>
        <w:bidi w:val="0"/>
        <w:spacing w:before="200" w:after="283"/>
        <w:jc w:val="both"/>
        <w:rPr/>
      </w:pPr>
      <w:r>
        <w:rPr>
          <w:color w:val="000000"/>
        </w:rPr>
        <w:t>“</w:t>
      </w:r>
      <w:r>
        <w:rPr>
          <w:rFonts w:ascii="Times New Roman" w:hAnsi="Times New Roman"/>
          <w:i/>
          <w:color w:val="000000"/>
          <w:sz w:val="24"/>
        </w:rPr>
        <w:t>Regulatory Authority”</w:t>
      </w:r>
      <w:r>
        <w:rPr>
          <w:rFonts w:ascii="Times New Roman" w:hAnsi="Times New Roman"/>
          <w:color w:val="000000"/>
          <w:sz w:val="20"/>
        </w:rPr>
        <w:t xml:space="preserve"> </w:t>
      </w:r>
      <w:r>
        <w:rPr>
          <w:rFonts w:ascii="Times New Roman" w:hAnsi="Times New Roman"/>
          <w:color w:val="000000"/>
          <w:sz w:val="24"/>
        </w:rPr>
        <w:t>means any Governmental Authority that is concerned with or has regulatory or supervisory oversight with respect to any Product or any Product Development and</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Commercialization Activities relating to any Product, including the FDA and all equivalent Governmental Authorities, whether U.S. or non</w:t>
        <w:noBreakHyphen/>
        <w:t>U.S. (including without limitation, the European Medicines Agency, the Japan Pharmaceutical and Medicare Devices Agency and the Japan Ministry of Health, Labour and Welfare).</w:t>
      </w:r>
    </w:p>
    <w:p>
      <w:pPr>
        <w:pStyle w:val="TextBody"/>
        <w:bidi w:val="0"/>
        <w:spacing w:before="200" w:after="283"/>
        <w:jc w:val="both"/>
        <w:rPr/>
      </w:pPr>
      <w:r>
        <w:rPr>
          <w:color w:val="000000"/>
        </w:rPr>
        <w:t>“</w:t>
      </w:r>
      <w:r>
        <w:rPr>
          <w:rFonts w:ascii="Times New Roman" w:hAnsi="Times New Roman"/>
          <w:i/>
          <w:color w:val="000000"/>
          <w:sz w:val="24"/>
        </w:rPr>
        <w:t>Relevant Governmental Body</w:t>
      </w:r>
      <w:r>
        <w:rPr>
          <w:rFonts w:ascii="Times New Roman" w:hAnsi="Times New Roman"/>
          <w:color w:val="000000"/>
          <w:sz w:val="20"/>
        </w:rPr>
        <w:t xml:space="preserve">” </w:t>
      </w:r>
      <w:r>
        <w:rPr>
          <w:rFonts w:ascii="Times New Roman" w:hAnsi="Times New Roman"/>
          <w:color w:val="000000"/>
          <w:sz w:val="24"/>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200" w:after="283"/>
        <w:jc w:val="both"/>
        <w:rPr/>
      </w:pPr>
      <w:r>
        <w:rPr>
          <w:color w:val="000000"/>
        </w:rPr>
        <w:t>“</w:t>
      </w:r>
      <w:r>
        <w:rPr>
          <w:rFonts w:ascii="Times New Roman" w:hAnsi="Times New Roman"/>
          <w:i/>
          <w:color w:val="000000"/>
          <w:sz w:val="24"/>
        </w:rPr>
        <w:t>Representatives”</w:t>
      </w:r>
      <w:r>
        <w:rPr>
          <w:rFonts w:ascii="Times New Roman" w:hAnsi="Times New Roman"/>
          <w:color w:val="000000"/>
          <w:sz w:val="20"/>
        </w:rPr>
        <w:t xml:space="preserve"> </w:t>
      </w:r>
      <w:r>
        <w:rPr>
          <w:rFonts w:ascii="Times New Roman" w:hAnsi="Times New Roman"/>
          <w:color w:val="000000"/>
          <w:sz w:val="24"/>
        </w:rPr>
        <w:t>has the meaning set forth in Section 13.17.</w:t>
      </w:r>
    </w:p>
    <w:p>
      <w:pPr>
        <w:pStyle w:val="TextBody"/>
        <w:bidi w:val="0"/>
        <w:spacing w:before="200" w:after="283"/>
        <w:jc w:val="both"/>
        <w:rPr/>
      </w:pPr>
      <w:r>
        <w:rPr>
          <w:color w:val="000000"/>
        </w:rPr>
        <w:t>“</w:t>
      </w:r>
      <w:r>
        <w:rPr>
          <w:rFonts w:ascii="Times New Roman" w:hAnsi="Times New Roman"/>
          <w:i/>
          <w:color w:val="000000"/>
          <w:sz w:val="24"/>
        </w:rPr>
        <w:t>Requirement of Law”</w:t>
      </w:r>
      <w:r>
        <w:rPr>
          <w:rFonts w:ascii="Times New Roman" w:hAnsi="Times New Roman"/>
          <w:color w:val="000000"/>
          <w:sz w:val="20"/>
        </w:rPr>
        <w:t xml:space="preserve"> </w:t>
      </w:r>
      <w:r>
        <w:rPr>
          <w:rFonts w:ascii="Times New Roman" w:hAnsi="Times New Roman"/>
          <w:color w:val="000000"/>
          <w:sz w:val="24"/>
        </w:rPr>
        <w:t>means, as to any Person, any Law applicable to or binding upon such Person or any of its Properties or revenues.</w:t>
      </w:r>
    </w:p>
    <w:p>
      <w:pPr>
        <w:pStyle w:val="TextBody"/>
        <w:bidi w:val="0"/>
        <w:spacing w:before="200" w:after="283"/>
        <w:jc w:val="both"/>
        <w:rPr/>
      </w:pPr>
      <w:r>
        <w:rPr>
          <w:color w:val="000000"/>
        </w:rPr>
        <w:t>“</w:t>
      </w:r>
      <w:r>
        <w:rPr>
          <w:rFonts w:ascii="Times New Roman" w:hAnsi="Times New Roman"/>
          <w:i/>
          <w:color w:val="000000"/>
          <w:sz w:val="24"/>
        </w:rPr>
        <w:t>Resignation Effective Date”</w:t>
      </w:r>
      <w:r>
        <w:rPr>
          <w:rFonts w:ascii="Times New Roman" w:hAnsi="Times New Roman"/>
          <w:color w:val="000000"/>
          <w:sz w:val="20"/>
        </w:rPr>
        <w:t xml:space="preserve"> </w:t>
      </w:r>
      <w:r>
        <w:rPr>
          <w:rFonts w:ascii="Times New Roman" w:hAnsi="Times New Roman"/>
          <w:color w:val="000000"/>
          <w:sz w:val="24"/>
        </w:rPr>
        <w:t>has the meaning set forth in Section 12.06(a).</w:t>
      </w:r>
    </w:p>
    <w:p>
      <w:pPr>
        <w:pStyle w:val="TextBody"/>
        <w:bidi w:val="0"/>
        <w:spacing w:before="200" w:after="283"/>
        <w:jc w:val="both"/>
        <w:rPr/>
      </w:pPr>
      <w:r>
        <w:rPr>
          <w:color w:val="000000"/>
        </w:rPr>
        <w:t>“</w:t>
      </w:r>
      <w:r>
        <w:rPr>
          <w:rFonts w:ascii="Times New Roman" w:hAnsi="Times New Roman"/>
          <w:i/>
          <w:color w:val="000000"/>
          <w:sz w:val="24"/>
        </w:rPr>
        <w:t>Responsible Officer”</w:t>
      </w:r>
      <w:r>
        <w:rPr>
          <w:rFonts w:ascii="Times New Roman" w:hAnsi="Times New Roman"/>
          <w:color w:val="000000"/>
          <w:sz w:val="20"/>
        </w:rPr>
        <w:t xml:space="preserve"> </w:t>
      </w:r>
      <w:r>
        <w:rPr>
          <w:rFonts w:ascii="Times New Roman" w:hAnsi="Times New Roman"/>
          <w:color w:val="000000"/>
          <w:sz w:val="24"/>
        </w:rPr>
        <w:t>of any Person means each of the president, chief executive officer and chief financial officer of such Person.</w:t>
      </w:r>
    </w:p>
    <w:p>
      <w:pPr>
        <w:pStyle w:val="TextBody"/>
        <w:bidi w:val="0"/>
        <w:spacing w:before="200" w:after="283"/>
        <w:jc w:val="both"/>
        <w:rPr/>
      </w:pPr>
      <w:r>
        <w:rPr>
          <w:color w:val="000000"/>
        </w:rPr>
        <w:t>“</w:t>
      </w:r>
      <w:r>
        <w:rPr>
          <w:rFonts w:ascii="Times New Roman" w:hAnsi="Times New Roman"/>
          <w:i/>
          <w:color w:val="000000"/>
          <w:sz w:val="24"/>
        </w:rPr>
        <w:t>Restricted Payment”</w:t>
      </w:r>
      <w:r>
        <w:rPr>
          <w:rFonts w:ascii="Times New Roman" w:hAnsi="Times New Roman"/>
          <w:color w:val="000000"/>
          <w:sz w:val="20"/>
        </w:rPr>
        <w:t xml:space="preserve"> </w:t>
      </w:r>
      <w:r>
        <w:rPr>
          <w:rFonts w:ascii="Times New Roman" w:hAnsi="Times New Roman"/>
          <w:color w:val="000000"/>
          <w:sz w:val="24"/>
        </w:rPr>
        <w:t>means any dividend or other distribution (which shall include any management fees) (whether in cash, securities or other Property) with respect to any Equity Interest of an Obligor or any of its Subsidiaries, or any payment (whether in cash, securities or other Property), including any sinking fund or similar deposit, on account of the purchase, redemption, retirement, acquisition, cancellation or termination of any Equity Interests of an Obligor or any of its Subsidiaries or any option, warrant or other right to acquire any Equity Interests of an Obligor or any of its Subsidiaries.</w:t>
      </w:r>
    </w:p>
    <w:p>
      <w:pPr>
        <w:pStyle w:val="TextBody"/>
        <w:bidi w:val="0"/>
        <w:spacing w:before="200" w:after="283"/>
        <w:jc w:val="both"/>
        <w:rPr/>
      </w:pPr>
      <w:r>
        <w:rPr>
          <w:color w:val="000000"/>
        </w:rPr>
        <w:t>“</w:t>
      </w:r>
      <w:r>
        <w:rPr>
          <w:rFonts w:ascii="Times New Roman" w:hAnsi="Times New Roman"/>
          <w:i/>
          <w:color w:val="000000"/>
          <w:sz w:val="24"/>
        </w:rPr>
        <w:t>Restrictive Agreement</w:t>
      </w:r>
      <w:r>
        <w:rPr>
          <w:rFonts w:ascii="Times New Roman" w:hAnsi="Times New Roman"/>
          <w:color w:val="000000"/>
          <w:sz w:val="20"/>
        </w:rPr>
        <w:t xml:space="preserve">” </w:t>
      </w:r>
      <w:r>
        <w:rPr>
          <w:rFonts w:ascii="Times New Roman" w:hAnsi="Times New Roman"/>
          <w:color w:val="000000"/>
          <w:sz w:val="24"/>
        </w:rPr>
        <w:t>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and (iii) software 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or (b) the ability of any Subsidiary to pay dividends or other distributions with respect to any shares of its Equity Interests or to make or repay loans or advances to an Obligor or any other Subsidiary or to Guarantee Indebtedness of an Obligor or any other Subsidiary.</w:t>
      </w:r>
    </w:p>
    <w:p>
      <w:pPr>
        <w:pStyle w:val="TextBody"/>
        <w:bidi w:val="0"/>
        <w:spacing w:before="200" w:after="283"/>
        <w:jc w:val="both"/>
        <w:rPr/>
      </w:pPr>
      <w:r>
        <w:rPr>
          <w:color w:val="000000"/>
        </w:rPr>
        <w:t>“</w:t>
      </w:r>
      <w:r>
        <w:rPr>
          <w:rFonts w:ascii="Times New Roman" w:hAnsi="Times New Roman"/>
          <w:i/>
          <w:color w:val="000000"/>
          <w:sz w:val="24"/>
        </w:rPr>
        <w:t>Sanctions”</w:t>
      </w:r>
      <w:r>
        <w:rPr>
          <w:rFonts w:ascii="Times New Roman" w:hAnsi="Times New Roman"/>
          <w:color w:val="000000"/>
          <w:sz w:val="20"/>
        </w:rPr>
        <w:t xml:space="preserve"> </w:t>
      </w:r>
      <w:r>
        <w:rPr>
          <w:rFonts w:ascii="Times New Roman" w:hAnsi="Times New Roman"/>
          <w:color w:val="000000"/>
          <w:sz w:val="24"/>
        </w:rPr>
        <w:t>means economic or financial sanctions, requirements or trade embargoes imposed, administered or enforced from time to time by any Governmental Authority (including, but not limited to, OFAC, the U.S. Department of State and the U.S. Department of Commerce).</w:t>
      </w:r>
    </w:p>
    <w:p>
      <w:pPr>
        <w:pStyle w:val="TextBody"/>
        <w:bidi w:val="0"/>
        <w:spacing w:before="200" w:after="283"/>
        <w:jc w:val="both"/>
        <w:rPr/>
      </w:pPr>
      <w:r>
        <w:rPr>
          <w:color w:val="000000"/>
        </w:rPr>
        <w:t>“</w:t>
      </w:r>
      <w:r>
        <w:rPr>
          <w:rFonts w:ascii="Times New Roman" w:hAnsi="Times New Roman"/>
          <w:i/>
          <w:color w:val="000000"/>
          <w:sz w:val="24"/>
        </w:rPr>
        <w:t>Sanctions Laws”</w:t>
      </w:r>
      <w:r>
        <w:rPr>
          <w:rFonts w:ascii="Times New Roman" w:hAnsi="Times New Roman"/>
          <w:color w:val="000000"/>
          <w:sz w:val="20"/>
        </w:rPr>
        <w:t xml:space="preserve"> </w:t>
      </w:r>
      <w:r>
        <w:rPr>
          <w:rFonts w:ascii="Times New Roman" w:hAnsi="Times New Roman"/>
          <w:color w:val="000000"/>
          <w:sz w:val="24"/>
        </w:rPr>
        <w:t>means all laws, rules, regulations and requirements of any jurisdiction applicable to the Obligors or any party to the Loan Documents concerning or relating to Sanctions, terrorism or money laundering.</w:t>
      </w:r>
    </w:p>
    <w:p>
      <w:pPr>
        <w:pStyle w:val="TextBody"/>
        <w:bidi w:val="0"/>
        <w:spacing w:before="200" w:after="283"/>
        <w:jc w:val="both"/>
        <w:rPr/>
      </w:pPr>
      <w:r>
        <w:rPr>
          <w:color w:val="000000"/>
        </w:rPr>
        <w:t>“</w:t>
      </w:r>
      <w:r>
        <w:rPr>
          <w:rFonts w:ascii="Times New Roman" w:hAnsi="Times New Roman"/>
          <w:i/>
          <w:color w:val="000000"/>
          <w:sz w:val="24"/>
        </w:rPr>
        <w:t>SEC”</w:t>
      </w:r>
      <w:r>
        <w:rPr>
          <w:rFonts w:ascii="Times New Roman" w:hAnsi="Times New Roman"/>
          <w:color w:val="000000"/>
          <w:sz w:val="20"/>
        </w:rPr>
        <w:t xml:space="preserve"> </w:t>
      </w:r>
      <w:r>
        <w:rPr>
          <w:rFonts w:ascii="Times New Roman" w:hAnsi="Times New Roman"/>
          <w:color w:val="000000"/>
          <w:sz w:val="24"/>
        </w:rPr>
        <w:t>means United States Securities and Exchange Commission.</w:t>
      </w:r>
    </w:p>
    <w:p>
      <w:pPr>
        <w:pStyle w:val="TextBody"/>
        <w:bidi w:val="0"/>
        <w:spacing w:before="200" w:after="283"/>
        <w:jc w:val="both"/>
        <w:rPr/>
      </w:pPr>
      <w:r>
        <w:rPr>
          <w:color w:val="000000"/>
        </w:rPr>
        <w:t>“</w:t>
      </w:r>
      <w:r>
        <w:rPr>
          <w:rFonts w:ascii="Times New Roman" w:hAnsi="Times New Roman"/>
          <w:i/>
          <w:color w:val="000000"/>
          <w:sz w:val="24"/>
        </w:rPr>
        <w:t>Securities Account”</w:t>
      </w:r>
      <w:r>
        <w:rPr>
          <w:rFonts w:ascii="Times New Roman" w:hAnsi="Times New Roman"/>
          <w:color w:val="000000"/>
          <w:sz w:val="20"/>
        </w:rPr>
        <w:t xml:space="preserve"> </w:t>
      </w:r>
      <w:r>
        <w:rPr>
          <w:rFonts w:ascii="Times New Roman" w:hAnsi="Times New Roman"/>
          <w:color w:val="000000"/>
          <w:sz w:val="24"/>
        </w:rPr>
        <w:t>has the meaning set forth in the Security Agreement.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pPr>
      <w:r>
        <w:rPr>
          <w:color w:val="000000"/>
        </w:rPr>
        <w:t>“</w:t>
      </w:r>
      <w:r>
        <w:rPr>
          <w:rFonts w:ascii="Times New Roman" w:hAnsi="Times New Roman"/>
          <w:i/>
          <w:color w:val="000000"/>
          <w:sz w:val="24"/>
        </w:rPr>
        <w:t>Security Agreement”</w:t>
      </w:r>
      <w:r>
        <w:rPr>
          <w:rFonts w:ascii="Times New Roman" w:hAnsi="Times New Roman"/>
          <w:color w:val="000000"/>
          <w:sz w:val="20"/>
        </w:rPr>
        <w:t xml:space="preserve"> </w:t>
      </w:r>
      <w:r>
        <w:rPr>
          <w:rFonts w:ascii="Times New Roman" w:hAnsi="Times New Roman"/>
          <w:color w:val="000000"/>
          <w:sz w:val="24"/>
        </w:rPr>
        <w:t>means the Security Agreement, dated as of the date hereof, in substantially the form of Exhibit G, among the Obligors, the Lenders and the Administrative Agent, granting a security interest in the personal Property constituting Collateral thereunder in favor of the Administrative Agent for the benefit of the Lenders.</w:t>
      </w:r>
    </w:p>
    <w:p>
      <w:pPr>
        <w:pStyle w:val="TextBody"/>
        <w:bidi w:val="0"/>
        <w:spacing w:before="200" w:after="283"/>
        <w:jc w:val="both"/>
        <w:rPr/>
      </w:pPr>
      <w:r>
        <w:rPr>
          <w:color w:val="000000"/>
        </w:rPr>
        <w:t>“</w:t>
      </w:r>
      <w:r>
        <w:rPr>
          <w:rFonts w:ascii="Times New Roman" w:hAnsi="Times New Roman"/>
          <w:i/>
          <w:color w:val="000000"/>
          <w:sz w:val="24"/>
        </w:rPr>
        <w:t>Security Documents”</w:t>
      </w:r>
      <w:r>
        <w:rPr>
          <w:rFonts w:ascii="Times New Roman" w:hAnsi="Times New Roman"/>
          <w:color w:val="000000"/>
          <w:sz w:val="20"/>
        </w:rPr>
        <w:t xml:space="preserve"> </w:t>
      </w:r>
      <w:r>
        <w:rPr>
          <w:rFonts w:ascii="Times New Roman" w:hAnsi="Times New Roman"/>
          <w:color w:val="000000"/>
          <w:sz w:val="24"/>
        </w:rPr>
        <w:t>means, collectively, the Security Agreement, each Short</w:t>
        <w:noBreakHyphen/>
        <w:t>Form IP Security Agreement, and each other security document, control agreement or financing statement executed to perfect Liens in favor of the Administrative Agent for the benefit of the Lenders.</w:t>
      </w:r>
    </w:p>
    <w:p>
      <w:pPr>
        <w:pStyle w:val="TextBody"/>
        <w:bidi w:val="0"/>
        <w:spacing w:before="200" w:after="283"/>
        <w:jc w:val="both"/>
        <w:rPr/>
      </w:pPr>
      <w:r>
        <w:rPr>
          <w:color w:val="000000"/>
        </w:rPr>
        <w:t>“</w:t>
      </w:r>
      <w:r>
        <w:rPr>
          <w:rFonts w:ascii="Times New Roman" w:hAnsi="Times New Roman"/>
          <w:i/>
          <w:color w:val="000000"/>
          <w:sz w:val="24"/>
        </w:rPr>
        <w:t>Short</w:t>
        <w:noBreakHyphen/>
        <w:t>Form IP Security Agreements”</w:t>
      </w:r>
      <w:r>
        <w:rPr>
          <w:rFonts w:ascii="Times New Roman" w:hAnsi="Times New Roman"/>
          <w:color w:val="000000"/>
          <w:sz w:val="20"/>
        </w:rPr>
        <w:t xml:space="preserve"> </w:t>
      </w:r>
      <w:r>
        <w:rPr>
          <w:rFonts w:ascii="Times New Roman" w:hAnsi="Times New Roman"/>
          <w:color w:val="000000"/>
          <w:sz w:val="24"/>
        </w:rPr>
        <w:t>means any short</w:t>
        <w:noBreakHyphen/>
        <w:t>form copyright, patent or trademark (as the case may be) security agreements, in substantially the form of Exhibits H-1 and H-2, entered into by one or more Obligors in favor of the Administrative Agent for the benefit of the Lenders, each in form and substance satisfactory to the Administrative Agent.</w:t>
      </w:r>
    </w:p>
    <w:p>
      <w:pPr>
        <w:pStyle w:val="TextBody"/>
        <w:bidi w:val="0"/>
        <w:spacing w:before="200" w:after="283"/>
        <w:jc w:val="both"/>
        <w:rPr/>
      </w:pPr>
      <w:r>
        <w:rPr>
          <w:color w:val="000000"/>
        </w:rPr>
        <w:t>“</w:t>
      </w:r>
      <w:r>
        <w:rPr>
          <w:rFonts w:ascii="Times New Roman" w:hAnsi="Times New Roman"/>
          <w:i/>
          <w:color w:val="000000"/>
          <w:sz w:val="24"/>
        </w:rPr>
        <w:t>SOFR</w:t>
      </w:r>
      <w:r>
        <w:rPr>
          <w:rFonts w:ascii="Times New Roman" w:hAnsi="Times New Roman"/>
          <w:color w:val="000000"/>
          <w:sz w:val="20"/>
        </w:rPr>
        <w:t xml:space="preserve">” </w:t>
      </w:r>
      <w:r>
        <w:rPr>
          <w:rFonts w:ascii="Times New Roman" w:hAnsi="Times New Roman"/>
          <w:color w:val="000000"/>
          <w:sz w:val="24"/>
        </w:rPr>
        <w:t>means a rate equal to the secured overnight financing rate as administered by the SOFR Administrator.</w:t>
      </w:r>
      <w:r>
        <w:rPr>
          <w:rFonts w:ascii="Times New Roman" w:hAnsi="Times New Roman"/>
          <w:color w:val="000000"/>
          <w:sz w:val="20"/>
        </w:rPr>
        <w:t xml:space="preserve"> </w:t>
      </w:r>
    </w:p>
    <w:p>
      <w:pPr>
        <w:pStyle w:val="TextBody"/>
        <w:bidi w:val="0"/>
        <w:spacing w:before="200" w:after="283"/>
        <w:jc w:val="both"/>
        <w:rPr/>
      </w:pPr>
      <w:r>
        <w:rPr>
          <w:color w:val="000000"/>
        </w:rPr>
        <w:t>“</w:t>
      </w:r>
      <w:r>
        <w:rPr>
          <w:rFonts w:ascii="Times New Roman" w:hAnsi="Times New Roman"/>
          <w:i/>
          <w:color w:val="000000"/>
          <w:sz w:val="24"/>
        </w:rPr>
        <w:t>SOFR Administrator</w:t>
      </w:r>
      <w:r>
        <w:rPr>
          <w:rFonts w:ascii="Times New Roman" w:hAnsi="Times New Roman"/>
          <w:color w:val="000000"/>
          <w:sz w:val="20"/>
        </w:rPr>
        <w:t xml:space="preserve">” </w:t>
      </w:r>
      <w:r>
        <w:rPr>
          <w:rFonts w:ascii="Times New Roman" w:hAnsi="Times New Roman"/>
          <w:color w:val="000000"/>
          <w:sz w:val="24"/>
        </w:rPr>
        <w:t>means the Federal Reserve Bank of New York (or a successor administrator of the secured overnight financing rate).</w:t>
      </w:r>
    </w:p>
    <w:p>
      <w:pPr>
        <w:pStyle w:val="TextBody"/>
        <w:bidi w:val="0"/>
        <w:spacing w:before="200" w:after="283"/>
        <w:jc w:val="both"/>
        <w:rPr/>
      </w:pPr>
      <w:r>
        <w:rPr>
          <w:color w:val="000000"/>
        </w:rPr>
        <w:t>“</w:t>
      </w:r>
      <w:r>
        <w:rPr>
          <w:rFonts w:ascii="Times New Roman" w:hAnsi="Times New Roman"/>
          <w:i/>
          <w:color w:val="000000"/>
          <w:sz w:val="24"/>
        </w:rPr>
        <w:t xml:space="preserve">SOFR Administrator’s Website” </w:t>
      </w:r>
      <w:r>
        <w:rPr>
          <w:rFonts w:ascii="Times New Roman" w:hAnsi="Times New Roman"/>
          <w:color w:val="000000"/>
          <w:sz w:val="24"/>
        </w:rPr>
        <w:t>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200" w:after="283"/>
        <w:jc w:val="both"/>
        <w:rPr/>
      </w:pPr>
      <w:r>
        <w:rPr>
          <w:color w:val="000000"/>
        </w:rPr>
        <w:t>“</w:t>
      </w:r>
      <w:r>
        <w:rPr>
          <w:rFonts w:ascii="Times New Roman" w:hAnsi="Times New Roman"/>
          <w:i/>
          <w:color w:val="000000"/>
          <w:sz w:val="24"/>
        </w:rPr>
        <w:t xml:space="preserve">SOFR Determination Day” </w:t>
      </w:r>
      <w:r>
        <w:rPr>
          <w:rFonts w:ascii="Times New Roman" w:hAnsi="Times New Roman"/>
          <w:color w:val="000000"/>
          <w:sz w:val="24"/>
        </w:rPr>
        <w:t xml:space="preserve">has the meaning specified in the definition of </w:t>
      </w:r>
      <w:r>
        <w:rPr>
          <w:rFonts w:ascii="Times New Roman" w:hAnsi="Times New Roman"/>
          <w:color w:val="000000"/>
          <w:sz w:val="20"/>
        </w:rPr>
        <w:t>“</w:t>
      </w:r>
      <w:r>
        <w:rPr>
          <w:rFonts w:ascii="Times New Roman" w:hAnsi="Times New Roman"/>
          <w:i/>
          <w:color w:val="000000"/>
          <w:sz w:val="24"/>
        </w:rPr>
        <w:t>Daily Simple SOFR”</w:t>
      </w:r>
      <w:r>
        <w:rPr>
          <w:rFonts w:ascii="Times New Roman" w:hAnsi="Times New Roman"/>
          <w:color w:val="000000"/>
          <w:sz w:val="24"/>
        </w:rPr>
        <w:t>.</w:t>
      </w:r>
    </w:p>
    <w:p>
      <w:pPr>
        <w:pStyle w:val="TextBody"/>
        <w:bidi w:val="0"/>
        <w:spacing w:before="200" w:after="283"/>
        <w:jc w:val="both"/>
        <w:rPr/>
      </w:pPr>
      <w:r>
        <w:rPr>
          <w:color w:val="000000"/>
        </w:rPr>
        <w:t>“</w:t>
      </w:r>
      <w:r>
        <w:rPr>
          <w:rFonts w:ascii="Times New Roman" w:hAnsi="Times New Roman"/>
          <w:i/>
          <w:color w:val="000000"/>
          <w:sz w:val="24"/>
        </w:rPr>
        <w:t xml:space="preserve">SOFR Rate Day” </w:t>
      </w:r>
      <w:r>
        <w:rPr>
          <w:rFonts w:ascii="Times New Roman" w:hAnsi="Times New Roman"/>
          <w:color w:val="000000"/>
          <w:sz w:val="24"/>
        </w:rPr>
        <w:t xml:space="preserve">has the meaning specified in the definition of </w:t>
      </w:r>
      <w:r>
        <w:rPr>
          <w:rFonts w:ascii="Times New Roman" w:hAnsi="Times New Roman"/>
          <w:color w:val="000000"/>
          <w:sz w:val="20"/>
        </w:rPr>
        <w:t>“</w:t>
      </w:r>
      <w:r>
        <w:rPr>
          <w:rFonts w:ascii="Times New Roman" w:hAnsi="Times New Roman"/>
          <w:i/>
          <w:color w:val="000000"/>
          <w:sz w:val="24"/>
        </w:rPr>
        <w:t>Daily Simple SOFR”</w:t>
      </w:r>
      <w:r>
        <w:rPr>
          <w:rFonts w:ascii="Times New Roman" w:hAnsi="Times New Roman"/>
          <w:color w:val="000000"/>
          <w:sz w:val="24"/>
        </w:rPr>
        <w:t>.</w:t>
      </w:r>
    </w:p>
    <w:p>
      <w:pPr>
        <w:pStyle w:val="TextBody"/>
        <w:bidi w:val="0"/>
        <w:spacing w:before="200" w:after="283"/>
        <w:jc w:val="both"/>
        <w:rPr/>
      </w:pPr>
      <w:r>
        <w:rPr>
          <w:color w:val="000000"/>
        </w:rPr>
        <w:t>“</w:t>
      </w:r>
      <w:r>
        <w:rPr>
          <w:rFonts w:ascii="Times New Roman" w:hAnsi="Times New Roman"/>
          <w:i/>
          <w:color w:val="000000"/>
          <w:sz w:val="24"/>
        </w:rPr>
        <w:t>Solvent”</w:t>
      </w:r>
      <w:r>
        <w:rPr>
          <w:rFonts w:ascii="Times New Roman" w:hAnsi="Times New Roman"/>
          <w:color w:val="000000"/>
          <w:sz w:val="20"/>
        </w:rPr>
        <w:t xml:space="preserve"> </w:t>
      </w:r>
      <w:r>
        <w:rPr>
          <w:rFonts w:ascii="Times New Roman" w:hAnsi="Times New Roman"/>
          <w:color w:val="000000"/>
          <w:sz w:val="24"/>
        </w:rPr>
        <w:t>means, as to any Person as of any date of determination, that on such date (a) the fair value of the property of such Person (as measured by such Person’s market capitalization, less its consolidated liabilities, as of the date of determination) is greater than the total amount of liabilities, including contingent liabilities, of such Person, (b) the present fair saleable value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before="200" w:after="283"/>
        <w:jc w:val="both"/>
        <w:rPr/>
      </w:pPr>
      <w:r>
        <w:rPr>
          <w:color w:val="000000"/>
        </w:rPr>
        <w:t>“</w:t>
      </w:r>
      <w:r>
        <w:rPr>
          <w:rFonts w:ascii="Times New Roman" w:hAnsi="Times New Roman"/>
          <w:i/>
          <w:color w:val="000000"/>
          <w:sz w:val="24"/>
        </w:rPr>
        <w:t>Standard Body”</w:t>
      </w:r>
      <w:r>
        <w:rPr>
          <w:rFonts w:ascii="Times New Roman" w:hAnsi="Times New Roman"/>
          <w:color w:val="000000"/>
          <w:sz w:val="20"/>
        </w:rPr>
        <w:t xml:space="preserve"> </w:t>
      </w:r>
      <w:r>
        <w:rPr>
          <w:rFonts w:ascii="Times New Roman" w:hAnsi="Times New Roman"/>
          <w:color w:val="000000"/>
          <w:sz w:val="24"/>
        </w:rPr>
        <w:t>means any of the organizations that create, sponsor or maintain safety, quality or other standards, including ISO, ANSI, CEN and SCC and the like.</w:t>
      </w:r>
    </w:p>
    <w:p>
      <w:pPr>
        <w:pStyle w:val="TextBody"/>
        <w:bidi w:val="0"/>
        <w:spacing w:before="200" w:after="283"/>
        <w:jc w:val="both"/>
        <w:rPr/>
      </w:pPr>
      <w:r>
        <w:rPr>
          <w:color w:val="000000"/>
        </w:rPr>
        <w:t>“</w:t>
      </w:r>
      <w:r>
        <w:rPr>
          <w:rFonts w:ascii="Times New Roman" w:hAnsi="Times New Roman"/>
          <w:i/>
          <w:color w:val="000000"/>
          <w:sz w:val="24"/>
        </w:rPr>
        <w:t>Stated Maturity Date”</w:t>
      </w:r>
      <w:r>
        <w:rPr>
          <w:rFonts w:ascii="Times New Roman" w:hAnsi="Times New Roman"/>
          <w:color w:val="000000"/>
          <w:sz w:val="20"/>
        </w:rPr>
        <w:t xml:space="preserve"> </w:t>
      </w:r>
      <w:r>
        <w:rPr>
          <w:rFonts w:ascii="Times New Roman" w:hAnsi="Times New Roman"/>
          <w:color w:val="000000"/>
          <w:sz w:val="24"/>
        </w:rPr>
        <w:t>means the fifth (5</w:t>
      </w:r>
      <w:r>
        <w:rPr>
          <w:rFonts w:ascii="Times New Roman" w:hAnsi="Times New Roman"/>
          <w:color w:val="000000"/>
          <w:sz w:val="16"/>
        </w:rPr>
        <w:t>th</w:t>
      </w:r>
      <w:r>
        <w:rPr>
          <w:rFonts w:ascii="Times New Roman" w:hAnsi="Times New Roman"/>
          <w:color w:val="000000"/>
          <w:sz w:val="24"/>
        </w:rPr>
        <w:t xml:space="preserve">) anniversary of the Closing Date; </w:t>
      </w:r>
      <w:r>
        <w:rPr>
          <w:rFonts w:ascii="Times New Roman" w:hAnsi="Times New Roman"/>
          <w:i/>
          <w:color w:val="000000"/>
          <w:sz w:val="24"/>
        </w:rPr>
        <w:t xml:space="preserve">provided </w:t>
      </w:r>
      <w:r>
        <w:rPr>
          <w:rFonts w:ascii="Times New Roman" w:hAnsi="Times New Roman"/>
          <w:color w:val="000000"/>
          <w:sz w:val="24"/>
        </w:rPr>
        <w:t>that if any such date shall occur on a day that is not a Business Day, then the Stated Maturity Date shall be the immediately succeeding Business Day.</w:t>
      </w:r>
    </w:p>
    <w:p>
      <w:pPr>
        <w:pStyle w:val="TextBody"/>
        <w:bidi w:val="0"/>
        <w:spacing w:before="200" w:after="283"/>
        <w:jc w:val="both"/>
        <w:rPr/>
      </w:pPr>
      <w:r>
        <w:rPr>
          <w:color w:val="000000"/>
        </w:rPr>
        <w:t>“</w:t>
      </w:r>
      <w:r>
        <w:rPr>
          <w:rFonts w:ascii="Times New Roman" w:hAnsi="Times New Roman"/>
          <w:i/>
          <w:color w:val="000000"/>
          <w:sz w:val="24"/>
        </w:rPr>
        <w:t>Subsidiary”</w:t>
      </w:r>
      <w:r>
        <w:rPr>
          <w:rFonts w:ascii="Times New Roman" w:hAnsi="Times New Roman"/>
          <w:color w:val="000000"/>
          <w:sz w:val="20"/>
        </w:rPr>
        <w:t xml:space="preserve"> </w:t>
      </w:r>
      <w:r>
        <w:rPr>
          <w:rFonts w:ascii="Times New Roman" w:hAnsi="Times New Roman"/>
          <w:color w:val="000000"/>
          <w:sz w:val="24"/>
        </w:rPr>
        <w:t xml:space="preserve">means, with respect to any Person (the </w:t>
      </w:r>
      <w:r>
        <w:rPr>
          <w:rFonts w:ascii="Times New Roman" w:hAnsi="Times New Roman"/>
          <w:color w:val="000000"/>
          <w:sz w:val="20"/>
        </w:rPr>
        <w:t>“</w:t>
      </w:r>
      <w:r>
        <w:rPr>
          <w:rFonts w:ascii="Times New Roman" w:hAnsi="Times New Roman"/>
          <w:i/>
          <w:color w:val="000000"/>
          <w:sz w:val="24"/>
        </w:rPr>
        <w:t>parent”</w:t>
      </w:r>
      <w:r>
        <w:rPr>
          <w:rFonts w:ascii="Times New Roman" w:hAnsi="Times New Roman"/>
          <w:color w:val="000000"/>
          <w:sz w:val="24"/>
        </w:rPr>
        <w:t>) at any time of determination, any other Person of which more than 50% of the outstanding capital stock of such other Person having ordinary voting powers, determined on a fully diluted basis, is at the time directly or indirectly owned</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or Controlled by the parent. Unless the context otherwise specifically requires, the term “Subsidiary” shall be a reference to a Subsidiary of the Borrower.</w:t>
      </w:r>
    </w:p>
    <w:p>
      <w:pPr>
        <w:pStyle w:val="TextBody"/>
        <w:bidi w:val="0"/>
        <w:spacing w:before="200" w:after="283"/>
        <w:jc w:val="both"/>
        <w:rPr/>
      </w:pPr>
      <w:r>
        <w:rPr>
          <w:color w:val="000000"/>
        </w:rPr>
        <w:t>“</w:t>
      </w:r>
      <w:r>
        <w:rPr>
          <w:rFonts w:ascii="Times New Roman" w:hAnsi="Times New Roman"/>
          <w:i/>
          <w:color w:val="000000"/>
          <w:sz w:val="24"/>
        </w:rPr>
        <w:t>Taxes”</w:t>
      </w:r>
      <w:r>
        <w:rPr>
          <w:rFonts w:ascii="Times New Roman" w:hAnsi="Times New Roman"/>
          <w:color w:val="000000"/>
          <w:sz w:val="20"/>
        </w:rPr>
        <w:t xml:space="preserve"> </w:t>
      </w:r>
      <w:r>
        <w:rPr>
          <w:rFonts w:ascii="Times New Roman" w:hAnsi="Times New Roman"/>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200" w:after="283"/>
        <w:jc w:val="both"/>
        <w:rPr/>
      </w:pPr>
      <w:r>
        <w:rPr>
          <w:color w:val="000000"/>
        </w:rPr>
        <w:t>“</w:t>
      </w:r>
      <w:r>
        <w:rPr>
          <w:rFonts w:ascii="Times New Roman" w:hAnsi="Times New Roman"/>
          <w:i/>
          <w:color w:val="000000"/>
          <w:sz w:val="24"/>
        </w:rPr>
        <w:t>Technical Information”</w:t>
      </w:r>
      <w:r>
        <w:rPr>
          <w:rFonts w:ascii="Times New Roman" w:hAnsi="Times New Roman"/>
          <w:color w:val="000000"/>
          <w:sz w:val="20"/>
        </w:rPr>
        <w:t xml:space="preserve"> </w:t>
      </w:r>
      <w:r>
        <w:rPr>
          <w:rFonts w:ascii="Times New Roman" w:hAnsi="Times New Roman"/>
          <w:color w:val="000000"/>
          <w:sz w:val="24"/>
        </w:rPr>
        <w:t>means all trade secrets and other proprietary or confidential information, which may include any proprietary information of a scientific or technical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w:t>
        <w:noBreakHyphen/>
        <w:t>how, technical information, systems, methodologies, computer programs or information technology.</w:t>
      </w:r>
    </w:p>
    <w:p>
      <w:pPr>
        <w:pStyle w:val="TextBody"/>
        <w:bidi w:val="0"/>
        <w:spacing w:before="200" w:after="283"/>
        <w:jc w:val="both"/>
        <w:rPr/>
      </w:pPr>
      <w:r>
        <w:rPr>
          <w:color w:val="000000"/>
        </w:rPr>
        <w:t>“</w:t>
      </w:r>
      <w:r>
        <w:rPr>
          <w:rFonts w:ascii="Times New Roman" w:hAnsi="Times New Roman"/>
          <w:i/>
          <w:color w:val="000000"/>
          <w:sz w:val="24"/>
        </w:rPr>
        <w:t>Term Loans”</w:t>
      </w:r>
      <w:r>
        <w:rPr>
          <w:rFonts w:ascii="Times New Roman" w:hAnsi="Times New Roman"/>
          <w:color w:val="000000"/>
          <w:sz w:val="20"/>
        </w:rPr>
        <w:t xml:space="preserve"> </w:t>
      </w:r>
      <w:r>
        <w:rPr>
          <w:rFonts w:ascii="Times New Roman" w:hAnsi="Times New Roman"/>
          <w:color w:val="000000"/>
          <w:sz w:val="24"/>
        </w:rPr>
        <w:t>means the Tranche A Term Loan and the Tranche B Term Loan.</w:t>
      </w:r>
    </w:p>
    <w:p>
      <w:pPr>
        <w:pStyle w:val="TextBody"/>
        <w:bidi w:val="0"/>
        <w:spacing w:before="200" w:after="283"/>
        <w:jc w:val="both"/>
        <w:rPr/>
      </w:pPr>
      <w:r>
        <w:rPr>
          <w:color w:val="000000"/>
        </w:rPr>
        <w:t>“</w:t>
      </w:r>
      <w:r>
        <w:rPr>
          <w:rFonts w:ascii="Times New Roman" w:hAnsi="Times New Roman"/>
          <w:i/>
          <w:color w:val="000000"/>
          <w:sz w:val="24"/>
        </w:rPr>
        <w:t>Term SOFR</w:t>
      </w:r>
      <w:r>
        <w:rPr>
          <w:rFonts w:ascii="Times New Roman" w:hAnsi="Times New Roman"/>
          <w:color w:val="000000"/>
          <w:sz w:val="20"/>
        </w:rPr>
        <w:t xml:space="preserve">” </w:t>
      </w:r>
      <w:r>
        <w:rPr>
          <w:rFonts w:ascii="Times New Roman" w:hAnsi="Times New Roman"/>
          <w:color w:val="000000"/>
          <w:sz w:val="24"/>
        </w:rPr>
        <w:t xml:space="preserve">means the Term SOFR Reference Rate for a tenor comparable to the applicable Interest Period on the day (such day, the </w:t>
      </w:r>
      <w:r>
        <w:rPr>
          <w:rFonts w:ascii="Times New Roman" w:hAnsi="Times New Roman"/>
          <w:color w:val="000000"/>
          <w:sz w:val="20"/>
        </w:rPr>
        <w:t>“</w:t>
      </w:r>
      <w:r>
        <w:rPr>
          <w:rFonts w:ascii="Times New Roman" w:hAnsi="Times New Roman"/>
          <w:i/>
          <w:color w:val="000000"/>
          <w:sz w:val="24"/>
        </w:rPr>
        <w:t>Periodic Term SOFR Determination Day”</w:t>
      </w:r>
      <w:r>
        <w:rPr>
          <w:rFonts w:ascii="Times New Roman" w:hAnsi="Times New Roman"/>
          <w:color w:val="000000"/>
          <w:sz w:val="24"/>
        </w:rPr>
        <w:t>) that is two (2) U.S. Government Securities Business Days prior to the first day of such Interest Period, as such rate is published by the Term SOFR Administrator</w:t>
      </w:r>
      <w:r>
        <w:rPr>
          <w:rFonts w:ascii="Times New Roman" w:hAnsi="Times New Roman"/>
          <w:i/>
          <w:color w:val="000000"/>
          <w:sz w:val="24"/>
        </w:rPr>
        <w:t>; provided, however</w:t>
      </w:r>
      <w:r>
        <w:rPr>
          <w:rFonts w:ascii="Times New Roman" w:hAnsi="Times New Roman"/>
          <w:color w:val="000000"/>
          <w:sz w:val="24"/>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hAnsi="Times New Roman"/>
          <w:i/>
          <w:color w:val="000000"/>
          <w:sz w:val="24"/>
        </w:rPr>
        <w:t>provided, further</w:t>
      </w:r>
      <w:r>
        <w:rPr>
          <w:rFonts w:ascii="Times New Roman" w:hAnsi="Times New Roman"/>
          <w:color w:val="000000"/>
          <w:sz w:val="24"/>
        </w:rPr>
        <w:t xml:space="preserve">, Term SOFR shall be rounded upwards to the next 1/100% (if necessary); </w:t>
      </w:r>
      <w:r>
        <w:rPr>
          <w:rFonts w:ascii="Times New Roman" w:hAnsi="Times New Roman"/>
          <w:i/>
          <w:color w:val="000000"/>
          <w:sz w:val="24"/>
        </w:rPr>
        <w:t>provided, further, however</w:t>
      </w:r>
      <w:r>
        <w:rPr>
          <w:rFonts w:ascii="Times New Roman" w:hAnsi="Times New Roman"/>
          <w:color w:val="000000"/>
          <w:sz w:val="24"/>
        </w:rPr>
        <w:t>, if Term SOFR as so determined shall ever be less than the Floor, then Term SOFR shall be deemed to be the Floor.</w:t>
      </w:r>
    </w:p>
    <w:p>
      <w:pPr>
        <w:pStyle w:val="TextBody"/>
        <w:bidi w:val="0"/>
        <w:spacing w:before="200" w:after="283"/>
        <w:jc w:val="both"/>
        <w:rPr/>
      </w:pPr>
      <w:r>
        <w:rPr>
          <w:color w:val="000000"/>
        </w:rPr>
        <w:t>“</w:t>
      </w:r>
      <w:r>
        <w:rPr>
          <w:rFonts w:ascii="Times New Roman" w:hAnsi="Times New Roman"/>
          <w:i/>
          <w:color w:val="000000"/>
          <w:sz w:val="24"/>
        </w:rPr>
        <w:t>Term SOFR Administrator</w:t>
      </w:r>
      <w:r>
        <w:rPr>
          <w:rFonts w:ascii="Times New Roman" w:hAnsi="Times New Roman"/>
          <w:color w:val="000000"/>
          <w:sz w:val="20"/>
        </w:rPr>
        <w:t xml:space="preserve">” </w:t>
      </w:r>
      <w:r>
        <w:rPr>
          <w:rFonts w:ascii="Times New Roman" w:hAnsi="Times New Roman"/>
          <w:color w:val="000000"/>
          <w:sz w:val="24"/>
        </w:rPr>
        <w:t>means CME Group Benchmark Administration Limited (CBA) (or a successor administrator of the Term SOFR Reference Rate selected by the Administrative Agent in its reasonable discretion).</w:t>
      </w:r>
    </w:p>
    <w:p>
      <w:pPr>
        <w:pStyle w:val="TextBody"/>
        <w:bidi w:val="0"/>
        <w:spacing w:before="200" w:after="283"/>
        <w:jc w:val="both"/>
        <w:rPr/>
      </w:pPr>
      <w:r>
        <w:rPr>
          <w:color w:val="000000"/>
        </w:rPr>
        <w:t>“</w:t>
      </w:r>
      <w:r>
        <w:rPr>
          <w:rFonts w:ascii="Times New Roman" w:hAnsi="Times New Roman"/>
          <w:i/>
          <w:color w:val="000000"/>
          <w:sz w:val="24"/>
        </w:rPr>
        <w:t>Term SOFR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 SOFR.</w:t>
      </w:r>
    </w:p>
    <w:p>
      <w:pPr>
        <w:pStyle w:val="TextBody"/>
        <w:bidi w:val="0"/>
        <w:spacing w:before="200" w:after="283"/>
        <w:jc w:val="both"/>
        <w:rPr/>
      </w:pPr>
      <w:r>
        <w:rPr>
          <w:color w:val="000000"/>
        </w:rPr>
        <w:t>“</w:t>
      </w:r>
      <w:r>
        <w:rPr>
          <w:rFonts w:ascii="Times New Roman" w:hAnsi="Times New Roman"/>
          <w:i/>
          <w:color w:val="000000"/>
          <w:sz w:val="24"/>
        </w:rPr>
        <w:t>Third</w:t>
        <w:noBreakHyphen/>
        <w:t>Party Payor Program”</w:t>
      </w:r>
      <w:r>
        <w:rPr>
          <w:rFonts w:ascii="Times New Roman" w:hAnsi="Times New Roman"/>
          <w:color w:val="000000"/>
          <w:sz w:val="20"/>
        </w:rPr>
        <w:t xml:space="preserve"> </w:t>
      </w:r>
      <w:r>
        <w:rPr>
          <w:rFonts w:ascii="Times New Roman" w:hAnsi="Times New Roman"/>
          <w:color w:val="000000"/>
          <w:sz w:val="24"/>
        </w:rPr>
        <w:t>means any Federal Health Care Program, or any other health care payment or reimbursement program in which an Obligor or Subsidiary participates, including programs sponsored by private insurers or managed care plans.</w:t>
      </w:r>
    </w:p>
    <w:p>
      <w:pPr>
        <w:pStyle w:val="TextBody"/>
        <w:bidi w:val="0"/>
        <w:spacing w:before="200" w:after="283"/>
        <w:jc w:val="both"/>
        <w:rPr/>
      </w:pPr>
      <w:r>
        <w:rPr>
          <w:color w:val="000000"/>
        </w:rPr>
        <w:t>“</w:t>
      </w:r>
      <w:r>
        <w:rPr>
          <w:rFonts w:ascii="Times New Roman" w:hAnsi="Times New Roman"/>
          <w:i/>
          <w:color w:val="000000"/>
          <w:sz w:val="24"/>
        </w:rPr>
        <w:t>Title IV Plan”</w:t>
      </w:r>
      <w:r>
        <w:rPr>
          <w:rFonts w:ascii="Times New Roman" w:hAnsi="Times New Roman"/>
          <w:color w:val="000000"/>
          <w:sz w:val="20"/>
        </w:rPr>
        <w:t xml:space="preserve"> </w:t>
      </w:r>
      <w:r>
        <w:rPr>
          <w:rFonts w:ascii="Times New Roman" w:hAnsi="Times New Roman"/>
          <w:color w:val="000000"/>
          <w:sz w:val="24"/>
        </w:rPr>
        <w:t>means an “employee benefit plan” as defined in Section 3(3) of ERISA (other than a Multiemployer Plan) (a) that is maintained. sponsored or contributed to by any Obligor or ERISA Affiliate or with respect to which any Obligor or ERISA Affiliate has or may have liability and (b) that is or was subject to Section 412 of the Code, Section 302 of ERISA or Title IV of ERISA.</w:t>
      </w:r>
    </w:p>
    <w:p>
      <w:pPr>
        <w:pStyle w:val="TextBody"/>
        <w:bidi w:val="0"/>
        <w:spacing w:before="200" w:after="283"/>
        <w:jc w:val="both"/>
        <w:rPr/>
      </w:pPr>
      <w:r>
        <w:rPr>
          <w:color w:val="000000"/>
        </w:rPr>
        <w:t>“</w:t>
      </w:r>
      <w:r>
        <w:rPr>
          <w:rFonts w:ascii="Times New Roman" w:hAnsi="Times New Roman"/>
          <w:i/>
          <w:color w:val="000000"/>
          <w:sz w:val="24"/>
        </w:rPr>
        <w:t>Trademarks”</w:t>
      </w:r>
      <w:r>
        <w:rPr>
          <w:rFonts w:ascii="Times New Roman" w:hAnsi="Times New Roman"/>
          <w:color w:val="000000"/>
          <w:sz w:val="20"/>
        </w:rPr>
        <w:t xml:space="preserve"> </w:t>
      </w:r>
      <w:r>
        <w:rPr>
          <w:rFonts w:ascii="Times New Roman" w:hAnsi="Times New Roman"/>
          <w:color w:val="000000"/>
          <w:sz w:val="24"/>
        </w:rPr>
        <w:t>has the meaning set forth in the Security Documents.</w:t>
      </w:r>
    </w:p>
    <w:p>
      <w:pPr>
        <w:pStyle w:val="TextBody"/>
        <w:bidi w:val="0"/>
        <w:spacing w:before="200" w:after="283"/>
        <w:jc w:val="both"/>
        <w:rPr/>
      </w:pPr>
      <w:r>
        <w:rPr>
          <w:color w:val="000000"/>
        </w:rPr>
        <w:t>“</w:t>
      </w:r>
      <w:r>
        <w:rPr>
          <w:rFonts w:ascii="Times New Roman" w:hAnsi="Times New Roman"/>
          <w:i/>
          <w:color w:val="000000"/>
          <w:sz w:val="24"/>
        </w:rPr>
        <w:t>Tranche A Term Loan</w:t>
      </w:r>
      <w:r>
        <w:rPr>
          <w:rFonts w:ascii="Times New Roman" w:hAnsi="Times New Roman"/>
          <w:color w:val="000000"/>
          <w:sz w:val="20"/>
        </w:rPr>
        <w:t xml:space="preserve">” </w:t>
      </w:r>
      <w:r>
        <w:rPr>
          <w:rFonts w:ascii="Times New Roman" w:hAnsi="Times New Roman"/>
          <w:color w:val="000000"/>
          <w:sz w:val="24"/>
        </w:rPr>
        <w:t>means the term loan advanced by a Lender pursuant to Section 2.01(a). For purposes of clarification, any calculation of the aggregate outstanding principal amount of the Tranche A Term Loan on any date of determination shall mean the aggregate principal amount of the Tranche A Term Loan made pursuant to Section 2.01(a) that has not yet been repaid as of such date.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pPr>
      <w:r>
        <w:rPr>
          <w:color w:val="000000"/>
        </w:rPr>
        <w:t>“</w:t>
      </w:r>
      <w:r>
        <w:rPr>
          <w:rFonts w:ascii="Times New Roman" w:hAnsi="Times New Roman"/>
          <w:i/>
          <w:color w:val="000000"/>
          <w:sz w:val="24"/>
        </w:rPr>
        <w:t>Tranche A Term Loan Commitment</w:t>
      </w:r>
      <w:r>
        <w:rPr>
          <w:rFonts w:ascii="Times New Roman" w:hAnsi="Times New Roman"/>
          <w:color w:val="000000"/>
          <w:sz w:val="20"/>
        </w:rPr>
        <w:t xml:space="preserve">” </w:t>
      </w:r>
      <w:r>
        <w:rPr>
          <w:rFonts w:ascii="Times New Roman" w:hAnsi="Times New Roman"/>
          <w:color w:val="000000"/>
          <w:sz w:val="24"/>
        </w:rPr>
        <w:t>means the commitment of a Lender to make or otherwise fund the Tranche A Term Loan and “</w:t>
      </w:r>
      <w:r>
        <w:rPr>
          <w:rFonts w:ascii="Times New Roman" w:hAnsi="Times New Roman"/>
          <w:i/>
          <w:color w:val="000000"/>
          <w:sz w:val="24"/>
        </w:rPr>
        <w:t>Tranche A Term Loan Commitments</w:t>
      </w:r>
      <w:r>
        <w:rPr>
          <w:rFonts w:ascii="Times New Roman" w:hAnsi="Times New Roman"/>
          <w:color w:val="000000"/>
          <w:sz w:val="20"/>
        </w:rPr>
        <w:t xml:space="preserve">” </w:t>
      </w:r>
      <w:r>
        <w:rPr>
          <w:rFonts w:ascii="Times New Roman" w:hAnsi="Times New Roman"/>
          <w:color w:val="000000"/>
          <w:sz w:val="24"/>
        </w:rPr>
        <w:t>means such commitments of all Lenders in the aggregate. The amount of each Lender’s Tranche A Term Loan Commitment, if any, is set forth on Schedule 1. The aggregate amount of the Tranche A Term Loan Commitments as of the Closing Date is $50,000,000.</w:t>
      </w:r>
    </w:p>
    <w:p>
      <w:pPr>
        <w:pStyle w:val="TextBody"/>
        <w:bidi w:val="0"/>
        <w:spacing w:before="200" w:after="283"/>
        <w:jc w:val="both"/>
        <w:rPr/>
      </w:pPr>
      <w:r>
        <w:rPr>
          <w:color w:val="000000"/>
        </w:rPr>
        <w:t>“</w:t>
      </w:r>
      <w:r>
        <w:rPr>
          <w:rFonts w:ascii="Times New Roman" w:hAnsi="Times New Roman"/>
          <w:i/>
          <w:color w:val="000000"/>
          <w:sz w:val="24"/>
        </w:rPr>
        <w:t>Tranche B Term Loan</w:t>
      </w:r>
      <w:r>
        <w:rPr>
          <w:rFonts w:ascii="Times New Roman" w:hAnsi="Times New Roman"/>
          <w:color w:val="000000"/>
          <w:sz w:val="20"/>
        </w:rPr>
        <w:t xml:space="preserve">” </w:t>
      </w:r>
      <w:r>
        <w:rPr>
          <w:rFonts w:ascii="Times New Roman" w:hAnsi="Times New Roman"/>
          <w:color w:val="000000"/>
          <w:sz w:val="24"/>
        </w:rPr>
        <w:t>means the term loan advanced by a Lender pursuant to Section 2.01(b). For purposes of clarification, any calculation of the aggregate outstanding principal amount of the Tranche B Term Loan on any date of determination shall mean the aggregate principal amount of the Tranche B Term Loan made pursuant to Section 2.01(b) that has not yet been repaid as of such date.</w:t>
      </w:r>
    </w:p>
    <w:p>
      <w:pPr>
        <w:pStyle w:val="TextBody"/>
        <w:bidi w:val="0"/>
        <w:spacing w:before="200" w:after="283"/>
        <w:jc w:val="both"/>
        <w:rPr/>
      </w:pPr>
      <w:r>
        <w:rPr>
          <w:color w:val="000000"/>
        </w:rPr>
        <w:t>“</w:t>
      </w:r>
      <w:r>
        <w:rPr>
          <w:rFonts w:ascii="Times New Roman" w:hAnsi="Times New Roman"/>
          <w:i/>
          <w:color w:val="000000"/>
          <w:sz w:val="24"/>
        </w:rPr>
        <w:t>Tranche B Term Loan Borrowing Date</w:t>
      </w:r>
      <w:r>
        <w:rPr>
          <w:rFonts w:ascii="Times New Roman" w:hAnsi="Times New Roman"/>
          <w:color w:val="000000"/>
          <w:sz w:val="20"/>
        </w:rPr>
        <w:t xml:space="preserve">” </w:t>
      </w:r>
      <w:r>
        <w:rPr>
          <w:rFonts w:ascii="Times New Roman" w:hAnsi="Times New Roman"/>
          <w:color w:val="000000"/>
          <w:sz w:val="24"/>
        </w:rPr>
        <w:t>means with respect to the Tranche B Term Loan, the Business Day on which all conditions set forth in Section 6.02 have been satisfied or waived by the Lenders and the Tranche B Term Loan is made hereunder.</w:t>
      </w:r>
    </w:p>
    <w:p>
      <w:pPr>
        <w:pStyle w:val="TextBody"/>
        <w:bidi w:val="0"/>
        <w:spacing w:before="200" w:after="283"/>
        <w:jc w:val="both"/>
        <w:rPr/>
      </w:pPr>
      <w:r>
        <w:rPr>
          <w:color w:val="000000"/>
        </w:rPr>
        <w:t>“</w:t>
      </w:r>
      <w:r>
        <w:rPr>
          <w:rFonts w:ascii="Times New Roman" w:hAnsi="Times New Roman"/>
          <w:i/>
          <w:color w:val="000000"/>
          <w:sz w:val="24"/>
        </w:rPr>
        <w:t>Tranche B Term Loan Commitment</w:t>
      </w:r>
      <w:r>
        <w:rPr>
          <w:rFonts w:ascii="Times New Roman" w:hAnsi="Times New Roman"/>
          <w:color w:val="000000"/>
          <w:sz w:val="20"/>
        </w:rPr>
        <w:t xml:space="preserve">” </w:t>
      </w:r>
      <w:r>
        <w:rPr>
          <w:rFonts w:ascii="Times New Roman" w:hAnsi="Times New Roman"/>
          <w:color w:val="000000"/>
          <w:sz w:val="24"/>
        </w:rPr>
        <w:t>means the commitment of a Lender to make or otherwise fund the Tranche B Term Loan and “</w:t>
      </w:r>
      <w:r>
        <w:rPr>
          <w:rFonts w:ascii="Times New Roman" w:hAnsi="Times New Roman"/>
          <w:i/>
          <w:color w:val="000000"/>
          <w:sz w:val="24"/>
        </w:rPr>
        <w:t>Tranche B Term Loan Commitments</w:t>
      </w:r>
      <w:r>
        <w:rPr>
          <w:rFonts w:ascii="Times New Roman" w:hAnsi="Times New Roman"/>
          <w:color w:val="000000"/>
          <w:sz w:val="20"/>
        </w:rPr>
        <w:t xml:space="preserve">” </w:t>
      </w:r>
      <w:r>
        <w:rPr>
          <w:rFonts w:ascii="Times New Roman" w:hAnsi="Times New Roman"/>
          <w:color w:val="000000"/>
          <w:sz w:val="24"/>
        </w:rPr>
        <w:t>means such commitments of all Lenders in the aggregate. The amount of each Lender’s Tranche B Term Loan Commitment, if any, is set forth on Schedule 1. The aggregate amount of the Tranche B Term Loan Commitments as of the Closing Date is $10,000,000.</w:t>
      </w:r>
    </w:p>
    <w:p>
      <w:pPr>
        <w:pStyle w:val="TextBody"/>
        <w:bidi w:val="0"/>
        <w:spacing w:before="200" w:after="283"/>
        <w:jc w:val="both"/>
        <w:rPr/>
      </w:pPr>
      <w:r>
        <w:rPr>
          <w:color w:val="000000"/>
        </w:rPr>
        <w:t>“</w:t>
      </w:r>
      <w:r>
        <w:rPr>
          <w:rFonts w:ascii="Times New Roman" w:hAnsi="Times New Roman"/>
          <w:i/>
          <w:color w:val="000000"/>
          <w:sz w:val="24"/>
        </w:rPr>
        <w:t>Tranche B Term Loan Commitment Termination Date</w:t>
      </w:r>
      <w:r>
        <w:rPr>
          <w:rFonts w:ascii="Times New Roman" w:hAnsi="Times New Roman"/>
          <w:color w:val="000000"/>
          <w:sz w:val="20"/>
        </w:rPr>
        <w:t xml:space="preserve">” </w:t>
      </w:r>
      <w:r>
        <w:rPr>
          <w:rFonts w:ascii="Times New Roman" w:hAnsi="Times New Roman"/>
          <w:color w:val="000000"/>
          <w:sz w:val="24"/>
        </w:rPr>
        <w:t>means March 31, 2027.</w:t>
      </w:r>
    </w:p>
    <w:p>
      <w:pPr>
        <w:pStyle w:val="TextBody"/>
        <w:bidi w:val="0"/>
        <w:spacing w:before="200" w:after="283"/>
        <w:jc w:val="both"/>
        <w:rPr/>
      </w:pPr>
      <w:r>
        <w:rPr>
          <w:color w:val="000000"/>
        </w:rPr>
        <w:t>“</w:t>
      </w:r>
      <w:r>
        <w:rPr>
          <w:rFonts w:ascii="Times New Roman" w:hAnsi="Times New Roman"/>
          <w:i/>
          <w:color w:val="000000"/>
          <w:sz w:val="24"/>
        </w:rPr>
        <w:t>Transactions”</w:t>
      </w:r>
      <w:r>
        <w:rPr>
          <w:rFonts w:ascii="Times New Roman" w:hAnsi="Times New Roman"/>
          <w:color w:val="000000"/>
          <w:sz w:val="20"/>
        </w:rPr>
        <w:t xml:space="preserve"> </w:t>
      </w:r>
      <w:r>
        <w:rPr>
          <w:rFonts w:ascii="Times New Roman" w:hAnsi="Times New Roman"/>
          <w:color w:val="000000"/>
          <w:sz w:val="24"/>
        </w:rPr>
        <w:t>means the execution, delivery and performance by each Obligor of this Agreement and the other Loan Documents to which such Obligor is a party and the other transactions contemplated hereby and thereby, including disbursement and application of the proceeds of the Term Loans.</w:t>
      </w:r>
    </w:p>
    <w:p>
      <w:pPr>
        <w:pStyle w:val="TextBody"/>
        <w:bidi w:val="0"/>
        <w:spacing w:before="200" w:after="283"/>
        <w:jc w:val="both"/>
        <w:rPr/>
      </w:pPr>
      <w:r>
        <w:rPr>
          <w:color w:val="000000"/>
        </w:rPr>
        <w:t>“</w:t>
      </w:r>
      <w:r>
        <w:rPr>
          <w:rFonts w:ascii="Times New Roman" w:hAnsi="Times New Roman"/>
          <w:i/>
          <w:color w:val="000000"/>
          <w:sz w:val="24"/>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200" w:after="283"/>
        <w:jc w:val="both"/>
        <w:rPr/>
      </w:pPr>
      <w:r>
        <w:rPr>
          <w:color w:val="000000"/>
        </w:rPr>
        <w:t>“</w:t>
      </w:r>
      <w:r>
        <w:rPr>
          <w:rFonts w:ascii="Times New Roman" w:hAnsi="Times New Roman"/>
          <w:i/>
          <w:color w:val="000000"/>
          <w:sz w:val="24"/>
        </w:rPr>
        <w:t>Unrestricted Cash”</w:t>
      </w:r>
      <w:r>
        <w:rPr>
          <w:rFonts w:ascii="Times New Roman" w:hAnsi="Times New Roman"/>
          <w:color w:val="000000"/>
          <w:sz w:val="20"/>
        </w:rPr>
        <w:t xml:space="preserve"> </w:t>
      </w:r>
      <w:r>
        <w:rPr>
          <w:rFonts w:ascii="Times New Roman" w:hAnsi="Times New Roman"/>
          <w:color w:val="000000"/>
          <w:sz w:val="24"/>
        </w:rPr>
        <w:t>means the balance of unencumbered cash (other than cash encumbered by the Liens granted to the Administrative Agent on behalf of the Lenders pursuant to the Loan Documents), to the extent held in a Controlled Account.</w:t>
      </w:r>
    </w:p>
    <w:p>
      <w:pPr>
        <w:pStyle w:val="TextBody"/>
        <w:bidi w:val="0"/>
        <w:spacing w:before="200" w:after="283"/>
        <w:jc w:val="both"/>
        <w:rPr/>
      </w:pPr>
      <w:r>
        <w:rPr>
          <w:color w:val="000000"/>
        </w:rPr>
        <w:t>“</w:t>
      </w:r>
      <w:r>
        <w:rPr>
          <w:rFonts w:ascii="Times New Roman" w:hAnsi="Times New Roman"/>
          <w:i/>
          <w:color w:val="000000"/>
          <w:sz w:val="24"/>
        </w:rPr>
        <w:t xml:space="preserve">U.S.” </w:t>
      </w:r>
      <w:r>
        <w:rPr>
          <w:rFonts w:ascii="Times New Roman" w:hAnsi="Times New Roman"/>
          <w:color w:val="000000"/>
          <w:sz w:val="24"/>
        </w:rPr>
        <w:t>means the United States of America.</w:t>
      </w:r>
      <w:r>
        <w:rPr>
          <w:rFonts w:ascii="Times New Roman" w:hAnsi="Times New Roman"/>
          <w:color w:val="000000"/>
          <w:sz w:val="20"/>
        </w:rPr>
        <w:t xml:space="preserve"> </w:t>
      </w:r>
    </w:p>
    <w:p>
      <w:pPr>
        <w:pStyle w:val="TextBody"/>
        <w:bidi w:val="0"/>
        <w:spacing w:before="200" w:after="283"/>
        <w:jc w:val="both"/>
        <w:rPr/>
      </w:pPr>
      <w:r>
        <w:rPr>
          <w:color w:val="000000"/>
        </w:rPr>
        <w:t>“</w:t>
      </w:r>
      <w:r>
        <w:rPr>
          <w:rFonts w:ascii="Times New Roman" w:hAnsi="Times New Roman"/>
          <w:i/>
          <w:color w:val="000000"/>
          <w:sz w:val="24"/>
        </w:rPr>
        <w:t xml:space="preserve">U.S. Government Securities Business Day” </w:t>
      </w:r>
      <w:r>
        <w:rPr>
          <w:rFonts w:ascii="Times New Roman" w:hAnsi="Times New Roman"/>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00" w:after="283"/>
        <w:jc w:val="both"/>
        <w:rPr/>
      </w:pPr>
      <w:r>
        <w:rPr>
          <w:color w:val="000000"/>
        </w:rPr>
        <w:t>“</w:t>
      </w:r>
      <w:r>
        <w:rPr>
          <w:rFonts w:ascii="Times New Roman" w:hAnsi="Times New Roman"/>
          <w:i/>
          <w:color w:val="000000"/>
          <w:sz w:val="24"/>
        </w:rPr>
        <w:t>U.S. Person”</w:t>
      </w:r>
      <w:r>
        <w:rPr>
          <w:rFonts w:ascii="Times New Roman" w:hAnsi="Times New Roman"/>
          <w:color w:val="000000"/>
          <w:sz w:val="20"/>
        </w:rPr>
        <w:t xml:space="preserve"> </w:t>
      </w:r>
      <w:r>
        <w:rPr>
          <w:rFonts w:ascii="Times New Roman" w:hAnsi="Times New Roman"/>
          <w:color w:val="000000"/>
          <w:sz w:val="24"/>
        </w:rPr>
        <w:t>means a “United States person” within the meaning of Section 7701(a)(30) of the Code.</w:t>
      </w:r>
    </w:p>
    <w:p>
      <w:pPr>
        <w:pStyle w:val="TextBody"/>
        <w:bidi w:val="0"/>
        <w:spacing w:before="280" w:after="283"/>
        <w:jc w:val="both"/>
        <w:rPr/>
      </w:pPr>
      <w:r>
        <w:rPr>
          <w:color w:val="000000"/>
        </w:rPr>
        <w:t>“</w:t>
      </w:r>
      <w:r>
        <w:rPr>
          <w:rFonts w:ascii="Times New Roman" w:hAnsi="Times New Roman"/>
          <w:i/>
          <w:color w:val="000000"/>
          <w:sz w:val="24"/>
        </w:rPr>
        <w:t>U.S. Tax Compliance Certificate”</w:t>
      </w:r>
      <w:r>
        <w:rPr>
          <w:rFonts w:ascii="Times New Roman" w:hAnsi="Times New Roman"/>
          <w:color w:val="000000"/>
          <w:sz w:val="20"/>
        </w:rPr>
        <w:t xml:space="preserve"> </w:t>
      </w:r>
      <w:r>
        <w:rPr>
          <w:rFonts w:ascii="Times New Roman" w:hAnsi="Times New Roman"/>
          <w:color w:val="000000"/>
          <w:sz w:val="24"/>
        </w:rPr>
        <w:t>has the meaning set forth in Section 5.03(f)(ii)(B)(3).</w:t>
      </w:r>
    </w:p>
    <w:p>
      <w:pPr>
        <w:pStyle w:val="TextBody"/>
        <w:bidi w:val="0"/>
        <w:spacing w:before="280" w:after="283"/>
        <w:jc w:val="both"/>
        <w:rPr/>
      </w:pPr>
      <w:r>
        <w:rPr>
          <w:color w:val="000000"/>
        </w:rPr>
        <w:t>“</w:t>
      </w:r>
      <w:r>
        <w:rPr>
          <w:rFonts w:ascii="Times New Roman" w:hAnsi="Times New Roman"/>
          <w:i/>
          <w:color w:val="000000"/>
          <w:sz w:val="24"/>
        </w:rPr>
        <w:t xml:space="preserve">Warrant Certificate” </w:t>
      </w:r>
      <w:r>
        <w:rPr>
          <w:rFonts w:ascii="Times New Roman" w:hAnsi="Times New Roman"/>
          <w:color w:val="000000"/>
          <w:sz w:val="24"/>
        </w:rPr>
        <w:t>means a warrant, the agreement of its issuance subject to approval of the Borrower’s shareholders and satisfaction of the applicable requirements under the ASX’s Listing Rules, that is substantially in the form set forth in Exhibit J.</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pPr>
      <w:r>
        <w:rPr>
          <w:color w:val="000000"/>
        </w:rPr>
        <w:t>“</w:t>
      </w:r>
      <w:r>
        <w:rPr>
          <w:rFonts w:ascii="Times New Roman" w:hAnsi="Times New Roman"/>
          <w:i/>
          <w:color w:val="000000"/>
          <w:sz w:val="24"/>
        </w:rPr>
        <w:t xml:space="preserve">Warrant Obligations” </w:t>
      </w:r>
      <w:r>
        <w:rPr>
          <w:rFonts w:ascii="Times New Roman" w:hAnsi="Times New Roman"/>
          <w:color w:val="000000"/>
          <w:sz w:val="24"/>
        </w:rPr>
        <w:t>means, with respect to the Borrower, all of its Obligations arising out of, under or in connection with, any Warrant Certificate (to the extent issued to the Administrative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1.02.</w:t>
      </w:r>
      <w:r>
        <w:rPr>
          <w:rFonts w:ascii="Times New Roman" w:hAnsi="Times New Roman"/>
          <w:color w:val="000000"/>
          <w:sz w:val="20"/>
        </w:rPr>
        <w:t xml:space="preserve"> </w:t>
      </w:r>
      <w:r>
        <w:rPr>
          <w:rFonts w:ascii="Times New Roman" w:hAnsi="Times New Roman"/>
          <w:i/>
          <w:color w:val="000000"/>
          <w:sz w:val="24"/>
        </w:rPr>
        <w:t>Accounting Terms and Principles</w:t>
      </w:r>
      <w:r>
        <w:rPr>
          <w:rFonts w:ascii="Times New Roman" w:hAnsi="Times New Roman"/>
          <w:color w:val="000000"/>
          <w:sz w:val="24"/>
        </w:rPr>
        <w:t xml:space="preserve">. All accounting determinations required to be made pursuant hereto shall, unless expressly otherwise provided herein, be made substantially in accordance with GAAP. If, after the date hereof, any change occurs in GAAP or in the application thereof (an </w:t>
      </w:r>
      <w:r>
        <w:rPr>
          <w:rFonts w:ascii="Times New Roman" w:hAnsi="Times New Roman"/>
          <w:color w:val="000000"/>
          <w:sz w:val="20"/>
        </w:rPr>
        <w:t>“</w:t>
      </w:r>
      <w:r>
        <w:rPr>
          <w:rFonts w:ascii="Times New Roman" w:hAnsi="Times New Roman"/>
          <w:i/>
          <w:color w:val="000000"/>
          <w:sz w:val="24"/>
        </w:rPr>
        <w:t>Accounting Change”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 </w:t>
      </w:r>
      <w:r>
        <w:rPr>
          <w:rFonts w:ascii="Times New Roman" w:hAnsi="Times New Roman"/>
          <w:color w:val="000000"/>
          <w:sz w:val="20"/>
        </w:rPr>
        <w:t>“</w:t>
      </w:r>
      <w:r>
        <w:rPr>
          <w:rFonts w:ascii="Times New Roman" w:hAnsi="Times New Roman"/>
          <w:i/>
          <w:color w:val="000000"/>
          <w:sz w:val="24"/>
        </w:rPr>
        <w:t>Accounting Change Notice”</w:t>
      </w:r>
      <w:r>
        <w:rPr>
          <w:rFonts w:ascii="Times New Roman" w:hAnsi="Times New Roman"/>
          <w:color w:val="000000"/>
          <w:sz w:val="24"/>
        </w:rPr>
        <w:t>) to the Administrative Agent in conjunction with the next required delivery of financial statements pursuant to 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 respective positions as of the date of this Agreement and, until any such amendments have been agreed upon, (a) the provisions in this Agreement shall be calculated as if no such Accounting Change had occurred and (b) the Borrower shall provide to the Administrative Agent a written reconciliation in form and substance reasonably satisfactory to the Administrative Agent, between calculations of any baskets and other requirements hereunder before and after giving effect to such Accounting Change.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All components of financial calculations made to determine compliance with this Agreement shall be adjusted to include or exclude, as the case may be, without duplication, such components of such calculations attributable to any Acquisition or disposition of assets consummated after the first day of the applicable period of determination and prior to the end of such period, as determined in good faith by the Borrower based on assumptions expressed therein and that were reasonable based on the information available to the Borrower at the time of preparation of the Compliance Certificate setting forth such calculations.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Notwithstanding the foregoing, with respect to the accounting for leases as either operating leases or Capital Leases and the impact of such accounting in accordance with FASB ASC 842 on the definitions and covenants herein, GAAP as in effect prior to the adoption of FASB ASC 842 shall be applied.</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1.03.</w:t>
      </w:r>
      <w:r>
        <w:rPr>
          <w:rFonts w:ascii="Times New Roman" w:hAnsi="Times New Roman"/>
          <w:color w:val="000000"/>
          <w:sz w:val="20"/>
        </w:rPr>
        <w:t xml:space="preserve"> </w:t>
      </w:r>
      <w:r>
        <w:rPr>
          <w:rFonts w:ascii="Times New Roman" w:hAnsi="Times New Roman"/>
          <w:i/>
          <w:color w:val="000000"/>
          <w:sz w:val="24"/>
        </w:rPr>
        <w:t>Interpretation</w:t>
      </w:r>
      <w:r>
        <w:rPr>
          <w:rFonts w:ascii="Times New Roman" w:hAnsi="Times New Roman"/>
          <w:color w:val="000000"/>
          <w:sz w:val="24"/>
        </w:rPr>
        <w:t>. For all purposes of this Agreement, except as otherwise expressly provided herein or unless the context otherwise requires, (a) the terms defined in this Agreement include the plural as well as the singular and vice versa; (b) 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and (h) accounting terms not specifically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extensions, supplements and other modifications thereto in accordance with the Loan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1.04.</w:t>
      </w:r>
      <w:r>
        <w:rPr>
          <w:rFonts w:ascii="Times New Roman" w:hAnsi="Times New Roman"/>
          <w:color w:val="000000"/>
          <w:sz w:val="20"/>
        </w:rPr>
        <w:t xml:space="preserve"> </w:t>
      </w:r>
      <w:r>
        <w:rPr>
          <w:rFonts w:ascii="Times New Roman" w:hAnsi="Times New Roman"/>
          <w:i/>
          <w:color w:val="000000"/>
          <w:sz w:val="24"/>
        </w:rPr>
        <w:t>Divisions</w:t>
      </w:r>
      <w:r>
        <w:rPr>
          <w:rFonts w:ascii="Times New Roman" w:hAnsi="Times New Roman"/>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1.05.</w:t>
      </w:r>
      <w:r>
        <w:rPr>
          <w:rFonts w:ascii="Times New Roman" w:hAnsi="Times New Roman"/>
          <w:color w:val="000000"/>
          <w:sz w:val="20"/>
        </w:rPr>
        <w:t xml:space="preserve"> </w:t>
      </w:r>
      <w:r>
        <w:rPr>
          <w:rFonts w:ascii="Times New Roman" w:hAnsi="Times New Roman"/>
          <w:i/>
          <w:color w:val="000000"/>
          <w:sz w:val="24"/>
        </w:rPr>
        <w:t xml:space="preserve">Interest Rates. </w:t>
      </w:r>
      <w:r>
        <w:rPr>
          <w:rFonts w:ascii="Times New Roman" w:hAnsi="Times New Roman"/>
          <w:color w:val="000000"/>
          <w:sz w:val="24"/>
        </w:rPr>
        <w:t>The Administrative Agent does not warrant or accept responsibility for, and shall not have any 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240" w:after="283"/>
        <w:jc w:val="center"/>
        <w:rPr>
          <w:rFonts w:ascii="Times New Roman" w:hAnsi="Times New Roman"/>
          <w:b/>
          <w:smallCaps/>
          <w:color w:val="000000"/>
          <w:sz w:val="24"/>
        </w:rPr>
      </w:pPr>
      <w:r>
        <w:rPr>
          <w:rFonts w:ascii="Times New Roman" w:hAnsi="Times New Roman"/>
          <w:b/>
          <w:smallCaps/>
          <w:color w:val="000000"/>
          <w:sz w:val="24"/>
        </w:rPr>
        <w:t xml:space="preserve">Article 2 </w:t>
        <w:br/>
        <w:br/>
        <w:t>The Commitments</w:t>
      </w:r>
    </w:p>
    <w:p>
      <w:pPr>
        <w:pStyle w:val="TextBody"/>
        <w:bidi w:val="0"/>
        <w:spacing w:before="120" w:after="283"/>
        <w:jc w:val="both"/>
        <w:rPr>
          <w:rFonts w:ascii="Times New Roman" w:hAnsi="Times New Roman"/>
          <w:sz w:val="20"/>
        </w:rPr>
      </w:pPr>
      <w:r>
        <w:rPr>
          <w:rFonts w:ascii="Times New Roman" w:hAnsi="Times New Roman"/>
          <w:i/>
          <w:color w:val="000000"/>
          <w:sz w:val="24"/>
        </w:rPr>
        <w:t>Section 2.01.</w:t>
      </w:r>
      <w:r>
        <w:rPr>
          <w:rFonts w:ascii="Times New Roman" w:hAnsi="Times New Roman"/>
          <w:color w:val="000000"/>
          <w:sz w:val="20"/>
        </w:rPr>
        <w:t xml:space="preserve"> </w:t>
      </w:r>
      <w:r>
        <w:rPr>
          <w:rFonts w:ascii="Times New Roman" w:hAnsi="Times New Roman"/>
          <w:i/>
          <w:color w:val="000000"/>
          <w:sz w:val="24"/>
        </w:rPr>
        <w:t>Term Loans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Tranche A Term Loan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Subject to the terms and conditions of this Agreement and relying on the representations and warranties set forth herein, each Lender, severally and not jointly, agrees to provide its share of the Tranche A Term Loan to the Borrower on the Closing Date in Dollars in a principal amount equal to such Lender’s Tranche A Term Loan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Commitment. No Lender shall have an obligation to make a Tranche A Term Loan in excess of such Lender’s Tranche A Term Loan Commitment.</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Subject to the terms and conditions of this Agreement (including Section 6.01), the Borrower shall deliver to the Administrative Agent a fully executed Borrowing Notice no later than 5 p.m. (New York City time) at least one (1) Business Day in advance of the Closing Date.</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Borrower may make one borrowing under the Tranche A Term Loan Commitment which shall be on the Closing Date. Subject to Sections 3.01 and 3.03, all amounts owed hereunder with respect to the Tranche A Term Loan shall be paid in full no later than the Maturity Date. Each Lender’s Tranche A Term Loan Commitment shall terminate immediately and without further action on the Closing Date after giving effect to the funding of such Lender’s Tranche A Term Loan Commitment on such date.</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Tranche B Term Loan.</w:t>
      </w:r>
    </w:p>
    <w:p>
      <w:pPr>
        <w:pStyle w:val="TextBody"/>
        <w:bidi w:val="0"/>
        <w:spacing w:before="24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Subject to the terms and conditions of this Agreement and relying on the representations and warranties set forth herein, each Lender, severally and not jointly, agrees prior to the Tranche B Term Loan Commitment Termination Date to provide its share of the Tranche B Term Loan to the Borrower on the Tranche B Term Loan Borrowing Date in Dollars in a principal amount equal to such Lender’s Tranche B Term Loan Commitment. No Lender shall have an obligation to make the Tranche B Term Loan in excess of such Lender’s Tranche B Term Loan Commitment.</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Subject to the terms and conditions of this Agreement (including Section 6.02), the Borrower shall deliver to the Administrative Agent a fully executed Borrowing Notice no later than 5 p.m. (New York City time) at least three (3) Business Days in advance of the proposed Tranche B Term Loan Borrowing Date.</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Borrower may make one borrowing under the Tranche B Term Loan Commitment which shall be on the Tranche B Term Loan Borrowing Date. Subject to Sections 3.01 and 3.03, all amounts owed hereunder with respect to the Tranche B Term Loan shall be paid in full no later than the Maturity Date. Each Lender’s Tranche B Term Loan Commitment shall terminate immediately and without further action on the earlier of (x) the Tranche B Term Loan Borrowing Date after giving effect to the funding of such Lender’s Tranche B Term Loan Commitment on such date and (y) the Tranche B Term Loan Commitment Termination Date.</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Any principal amount of the Term Loans borrowed under Sections 2.01(a) or (b) hereof and subsequently repaid or prepaid may not be reborrowed.</w:t>
      </w:r>
    </w:p>
    <w:p>
      <w:pPr>
        <w:pStyle w:val="TextBody"/>
        <w:bidi w:val="0"/>
        <w:spacing w:before="280" w:after="283"/>
        <w:jc w:val="both"/>
        <w:rPr>
          <w:rFonts w:ascii="Times New Roman" w:hAnsi="Times New Roman"/>
          <w:sz w:val="20"/>
        </w:rPr>
      </w:pPr>
      <w:r>
        <w:rPr>
          <w:rFonts w:ascii="Times New Roman" w:hAnsi="Times New Roman"/>
          <w:i/>
          <w:color w:val="000000"/>
          <w:sz w:val="24"/>
        </w:rPr>
        <w:t>Section 2.02.</w:t>
      </w:r>
      <w:r>
        <w:rPr>
          <w:rFonts w:ascii="Times New Roman" w:hAnsi="Times New Roman"/>
          <w:color w:val="000000"/>
          <w:sz w:val="20"/>
        </w:rPr>
        <w:t xml:space="preserve"> </w:t>
      </w:r>
      <w:r>
        <w:rPr>
          <w:rFonts w:ascii="Times New Roman" w:hAnsi="Times New Roman"/>
          <w:i/>
          <w:color w:val="000000"/>
          <w:sz w:val="24"/>
        </w:rPr>
        <w:t>Proportionate Shares</w:t>
      </w:r>
      <w:r>
        <w:rPr>
          <w:rFonts w:ascii="Times New Roman" w:hAnsi="Times New Roman"/>
          <w:color w:val="000000"/>
          <w:sz w:val="24"/>
        </w:rPr>
        <w:t>. All Term Loans shall be made, and all participations purchased, by the Lenders 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2.03.</w:t>
      </w:r>
      <w:r>
        <w:rPr>
          <w:rFonts w:ascii="Times New Roman" w:hAnsi="Times New Roman"/>
          <w:color w:val="000000"/>
          <w:sz w:val="20"/>
        </w:rPr>
        <w:t xml:space="preserve"> </w:t>
      </w:r>
      <w:r>
        <w:rPr>
          <w:rFonts w:ascii="Times New Roman" w:hAnsi="Times New Roman"/>
          <w:i/>
          <w:color w:val="000000"/>
          <w:sz w:val="24"/>
        </w:rPr>
        <w:t>Fees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 xml:space="preserve">Closing Fee. </w:t>
      </w:r>
      <w:r>
        <w:rPr>
          <w:rFonts w:ascii="Times New Roman" w:hAnsi="Times New Roman"/>
          <w:color w:val="000000"/>
          <w:sz w:val="24"/>
        </w:rPr>
        <w:t>On the Closing Date, the Borrower shall pay to the Administrative Agent, in accordance with the provisions of the Fee Letter and for distribution to each Lender in accordance with its Proportionate Share of the Term Loans, the Closing Fee. Such payments shall be in addition to such fees, costs and expenses due and payable pursuant to Section 13.03.</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 xml:space="preserve">Exit Fee. </w:t>
      </w:r>
      <w:r>
        <w:rPr>
          <w:rFonts w:ascii="Times New Roman" w:hAnsi="Times New Roman"/>
          <w:color w:val="000000"/>
          <w:sz w:val="24"/>
        </w:rPr>
        <w:t>The Borrower shall pay to the Administrative Agent, to the extent required in accordance with the provisions of the Fee Letter, and for distribution to each Lender in accordance with its Proportionate Share of the Term Loans, the Exit Fee.</w:t>
      </w:r>
    </w:p>
    <w:p>
      <w:pPr>
        <w:pStyle w:val="TextBody"/>
        <w:bidi w:val="0"/>
        <w:spacing w:before="280" w:after="283"/>
        <w:jc w:val="both"/>
        <w:rPr>
          <w:rFonts w:ascii="Times New Roman" w:hAnsi="Times New Roman"/>
          <w:sz w:val="20"/>
        </w:rPr>
      </w:pPr>
      <w:r>
        <w:rPr>
          <w:rFonts w:ascii="Times New Roman" w:hAnsi="Times New Roman"/>
          <w:i/>
          <w:color w:val="000000"/>
          <w:sz w:val="24"/>
        </w:rPr>
        <w:t>Section 2.04.</w:t>
      </w:r>
      <w:r>
        <w:rPr>
          <w:rFonts w:ascii="Times New Roman" w:hAnsi="Times New Roman"/>
          <w:color w:val="000000"/>
          <w:sz w:val="20"/>
        </w:rPr>
        <w:t xml:space="preserve"> </w:t>
      </w:r>
      <w:r>
        <w:rPr>
          <w:rFonts w:ascii="Times New Roman" w:hAnsi="Times New Roman"/>
          <w:i/>
          <w:color w:val="000000"/>
          <w:sz w:val="24"/>
        </w:rPr>
        <w:t>Notes</w:t>
      </w:r>
      <w:r>
        <w:rPr>
          <w:rFonts w:ascii="Times New Roman" w:hAnsi="Times New Roman"/>
          <w:color w:val="000000"/>
          <w:sz w:val="24"/>
        </w:rPr>
        <w:t>. Upon the request of any Lender, the Borrower shall prepare, execute and deliver to such Lender one or more Notes evidencing the portion of the Term Loans payable to such Lender (or if requested by it, to it and its registered assigns).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2.05.</w:t>
      </w:r>
      <w:r>
        <w:rPr>
          <w:rFonts w:ascii="Times New Roman" w:hAnsi="Times New Roman"/>
          <w:color w:val="000000"/>
          <w:sz w:val="20"/>
        </w:rPr>
        <w:t xml:space="preserve"> </w:t>
      </w:r>
      <w:r>
        <w:rPr>
          <w:rFonts w:ascii="Times New Roman" w:hAnsi="Times New Roman"/>
          <w:i/>
          <w:color w:val="000000"/>
          <w:sz w:val="24"/>
        </w:rPr>
        <w:t>Use of Proceeds</w:t>
      </w:r>
      <w:r>
        <w:rPr>
          <w:rFonts w:ascii="Times New Roman" w:hAnsi="Times New Roman"/>
          <w:color w:val="000000"/>
          <w:sz w:val="24"/>
        </w:rPr>
        <w:t>. The Borrower shall use the proceeds of the Term Loans (a) for general working capital purposes and corporate purposes permitted hereunder, (b) to refinance certain existing Indebtedness on the Closing Date (including Indebtedness outstanding pursuant to the Existing Credit Facility)</w:t>
      </w:r>
      <w:r>
        <w:rPr>
          <w:rFonts w:ascii="Times New Roman" w:hAnsi="Times New Roman"/>
          <w:color w:val="000000"/>
          <w:sz w:val="20"/>
        </w:rPr>
        <w:t xml:space="preserve"> </w:t>
      </w:r>
      <w:r>
        <w:rPr>
          <w:rFonts w:ascii="Times New Roman" w:hAnsi="Times New Roman"/>
          <w:color w:val="000000"/>
          <w:sz w:val="24"/>
        </w:rPr>
        <w:t>and (c) to pay, in accordance with the funds flow attached to the Borrowing Notice, fees, costs and expenses incurred in connection with the Transactions.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3 </w:t>
        <w:br/>
        <w:br/>
        <w:t>Payments of Principal and Interest</w:t>
      </w:r>
    </w:p>
    <w:p>
      <w:pPr>
        <w:pStyle w:val="TextBody"/>
        <w:bidi w:val="0"/>
        <w:spacing w:before="280" w:after="283"/>
        <w:jc w:val="both"/>
        <w:rPr>
          <w:rFonts w:ascii="Times New Roman" w:hAnsi="Times New Roman"/>
          <w:sz w:val="20"/>
        </w:rPr>
      </w:pPr>
      <w:r>
        <w:rPr>
          <w:rFonts w:ascii="Times New Roman" w:hAnsi="Times New Roman"/>
          <w:i/>
          <w:color w:val="000000"/>
          <w:sz w:val="24"/>
        </w:rPr>
        <w:t>Section 3.01.</w:t>
      </w:r>
      <w:r>
        <w:rPr>
          <w:rFonts w:ascii="Times New Roman" w:hAnsi="Times New Roman"/>
          <w:color w:val="000000"/>
          <w:sz w:val="20"/>
        </w:rPr>
        <w:t xml:space="preserve"> </w:t>
      </w:r>
      <w:r>
        <w:rPr>
          <w:rFonts w:ascii="Times New Roman" w:hAnsi="Times New Roman"/>
          <w:i/>
          <w:color w:val="000000"/>
          <w:sz w:val="24"/>
        </w:rPr>
        <w:t>Repayment.</w:t>
      </w:r>
      <w:r>
        <w:rPr>
          <w:rFonts w:ascii="Times New Roman" w:hAnsi="Times New Roman"/>
          <w:color w:val="000000"/>
          <w:sz w:val="20"/>
        </w:rPr>
        <w:t xml:space="preserve"> </w:t>
      </w:r>
      <w:r>
        <w:rPr>
          <w:rFonts w:ascii="Times New Roman" w:hAnsi="Times New Roman"/>
          <w:color w:val="000000"/>
          <w:sz w:val="24"/>
        </w:rPr>
        <w:t>There will be no scheduled repayments of principal on the Term Loans prior to the Maturity Date. The entire outstanding principal amount of the Term Loans, together with all accrued and unpaid interest thereon, will be due and payable on the Maturity Date.</w:t>
      </w:r>
    </w:p>
    <w:p>
      <w:pPr>
        <w:pStyle w:val="TextBody"/>
        <w:bidi w:val="0"/>
        <w:spacing w:before="280" w:after="283"/>
        <w:jc w:val="both"/>
        <w:rPr>
          <w:rFonts w:ascii="Times New Roman" w:hAnsi="Times New Roman"/>
          <w:sz w:val="20"/>
        </w:rPr>
      </w:pPr>
      <w:r>
        <w:rPr>
          <w:rFonts w:ascii="Times New Roman" w:hAnsi="Times New Roman"/>
          <w:i/>
          <w:color w:val="000000"/>
          <w:sz w:val="24"/>
        </w:rPr>
        <w:t>Section 3.02.</w:t>
      </w:r>
      <w:r>
        <w:rPr>
          <w:rFonts w:ascii="Times New Roman" w:hAnsi="Times New Roman"/>
          <w:color w:val="000000"/>
          <w:sz w:val="20"/>
        </w:rPr>
        <w:t xml:space="preserve"> </w:t>
      </w:r>
      <w:r>
        <w:rPr>
          <w:rFonts w:ascii="Times New Roman" w:hAnsi="Times New Roman"/>
          <w:i/>
          <w:color w:val="000000"/>
          <w:sz w:val="24"/>
        </w:rPr>
        <w:t>Interest</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 xml:space="preserve">Interest Generally. </w:t>
      </w:r>
      <w:r>
        <w:rPr>
          <w:rFonts w:ascii="Times New Roman" w:hAnsi="Times New Roman"/>
          <w:color w:val="000000"/>
          <w:sz w:val="24"/>
        </w:rPr>
        <w:t>The Borrower agrees to pay to the Lenders interest in cash on the outstanding principal amount of the Term Loans for each Interest Period at a rate per annum equal to the sum of (i) Term SOFR plus (ii) the Applicable Margin.</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 xml:space="preserve">Term SOFR Conforming Changes. </w:t>
      </w:r>
      <w:r>
        <w:rPr>
          <w:rFonts w:ascii="Times New Roman" w:hAnsi="Times New Roman"/>
          <w:color w:val="000000"/>
          <w:sz w:val="24"/>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Effect of Benchmark Transition Event.</w:t>
      </w:r>
    </w:p>
    <w:p>
      <w:pPr>
        <w:pStyle w:val="TextBody"/>
        <w:bidi w:val="0"/>
        <w:spacing w:before="32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Benchmark Replacement</w:t>
      </w:r>
      <w:r>
        <w:rPr>
          <w:rFonts w:ascii="Times New Roman" w:hAnsi="Times New Roman"/>
          <w:color w:val="000000"/>
          <w:sz w:val="24"/>
        </w:rPr>
        <w:t>. Notwithstanding anything to the contrary herein or in any other Loan Document, if a Benchmark Transition Event and its related Benchmark Replacement Date have occurred prior to any setting of the then-current Benchmark, then (A) if a Benchmark Replacement is determined in accordance with</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20" w:after="283"/>
        <w:jc w:val="both"/>
        <w:rPr>
          <w:rFonts w:ascii="Times New Roman" w:hAnsi="Times New Roman"/>
          <w:sz w:val="20"/>
        </w:rPr>
      </w:pPr>
      <w:r>
        <w:rPr>
          <w:rFonts w:ascii="Times New Roman" w:hAnsi="Times New Roman"/>
          <w:color w:val="000000"/>
          <w:sz w:val="24"/>
        </w:rPr>
        <w:t>clause (a) of the definition of “Benchmark Replacement” for such Benchmark Replacement Date, such Benchmark Replacement will replace such Benchmark for all purposes hereunder and under any Loan Document in respect of such Benchmark setting and any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w:t>
      </w:r>
      <w:r>
        <w:rPr>
          <w:rFonts w:ascii="Times New Roman" w:hAnsi="Times New Roman"/>
          <w:color w:val="000000"/>
          <w:sz w:val="20"/>
        </w:rPr>
        <w:t xml:space="preserve"> </w:t>
      </w:r>
    </w:p>
    <w:p>
      <w:pPr>
        <w:pStyle w:val="TextBody"/>
        <w:bidi w:val="0"/>
        <w:spacing w:before="32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Conforming Changes</w:t>
      </w:r>
      <w:r>
        <w:rPr>
          <w:rFonts w:ascii="Times New Roman" w:hAnsi="Times New Roman"/>
          <w:color w:val="000000"/>
          <w:sz w:val="24"/>
        </w:rPr>
        <w:t>. In connection with the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Documents.</w:t>
      </w:r>
      <w:r>
        <w:rPr>
          <w:rFonts w:ascii="Times New Roman" w:hAnsi="Times New Roman"/>
          <w:color w:val="000000"/>
          <w:sz w:val="20"/>
        </w:rPr>
        <w:t xml:space="preserve"> </w:t>
      </w:r>
    </w:p>
    <w:p>
      <w:pPr>
        <w:pStyle w:val="TextBody"/>
        <w:bidi w:val="0"/>
        <w:spacing w:before="32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Notices; Standards for Decisions and Determinations</w:t>
      </w:r>
      <w:r>
        <w:rPr>
          <w:rFonts w:ascii="Times New Roman" w:hAnsi="Times New Roman"/>
          <w:color w:val="000000"/>
          <w:sz w:val="24"/>
        </w:rPr>
        <w:t>. The Administrative Agent will promptly notify the Borrower and the Lenders of (A) the implementation of any Benchmark Replacement and (B) 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3.02(c).</w:t>
      </w:r>
    </w:p>
    <w:p>
      <w:pPr>
        <w:pStyle w:val="TextBody"/>
        <w:bidi w:val="0"/>
        <w:spacing w:before="32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i/>
          <w:color w:val="000000"/>
          <w:sz w:val="24"/>
        </w:rPr>
        <w:t>Unavailability of Tenor of Benchmark</w:t>
      </w:r>
      <w:r>
        <w:rPr>
          <w:rFonts w:ascii="Times New Roman" w:hAnsi="Times New Roman"/>
          <w:color w:val="000000"/>
          <w:sz w:val="24"/>
        </w:rPr>
        <w:t>. Notwithstanding anything to the contrary herein or in any other Loan Document, at any time (including in connection with the implementation of a Benchmark Replacement), (A) if the then-current Benchmark is a term rate (including the Term SOFR Reference Rate) and either (x) any tenor for such Benchmark is not displayed on a screen or other information service that publishes such rate from time to time as selected by the Administrative Agent in its reasonable discretion or (y)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not or will not be representative for a Benchmark (including a</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Default Interest.</w:t>
      </w:r>
      <w:r>
        <w:rPr>
          <w:rFonts w:ascii="Times New Roman" w:hAnsi="Times New Roman"/>
          <w:color w:val="000000"/>
          <w:sz w:val="20"/>
        </w:rPr>
        <w:t xml:space="preserve"> </w:t>
      </w:r>
      <w:r>
        <w:rPr>
          <w:rFonts w:ascii="Times New Roman" w:hAnsi="Times New Roman"/>
          <w:color w:val="000000"/>
          <w:sz w:val="24"/>
        </w:rPr>
        <w:t xml:space="preserve">Notwithstanding the foregoing, upon the occurrence and during the continuance of any Event of Default, the Applicable Margin shall increase automatically by 4.00% per annum (the interest rate, as increased pursuant to this Section 3.02(d), being the </w:t>
      </w:r>
      <w:r>
        <w:rPr>
          <w:rFonts w:ascii="Times New Roman" w:hAnsi="Times New Roman"/>
          <w:color w:val="000000"/>
          <w:sz w:val="20"/>
        </w:rPr>
        <w:t>“</w:t>
      </w:r>
      <w:r>
        <w:rPr>
          <w:rFonts w:ascii="Times New Roman" w:hAnsi="Times New Roman"/>
          <w:i/>
          <w:color w:val="000000"/>
          <w:sz w:val="24"/>
        </w:rPr>
        <w:t>Default Rate”</w:t>
      </w:r>
      <w:r>
        <w:rPr>
          <w:rFonts w:ascii="Times New Roman" w:hAnsi="Times New Roman"/>
          <w:color w:val="000000"/>
          <w:sz w:val="24"/>
        </w:rPr>
        <w:t>). Notwithstanding any other provision herein, if interest is required to be paid at the Default Rate, it shall also be paid entirely in cash.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Payment Dates.</w:t>
      </w:r>
      <w:r>
        <w:rPr>
          <w:rFonts w:ascii="Times New Roman" w:hAnsi="Times New Roman"/>
          <w:color w:val="000000"/>
          <w:sz w:val="20"/>
        </w:rPr>
        <w:t xml:space="preserve"> </w:t>
      </w:r>
      <w:r>
        <w:rPr>
          <w:rFonts w:ascii="Times New Roman" w:hAnsi="Times New Roman"/>
          <w:color w:val="000000"/>
          <w:sz w:val="24"/>
        </w:rPr>
        <w:t xml:space="preserve">Accrued interest on the Term Loans shall be payable in arrears on each Payment Date with respect to the most recently completed Interest Period in cash, and upon the payment or prepayment of the Term Loans (on the principal amount being so paid or prepaid);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interest payable at the Default Rate shall be payable from time to time on demand by the Majority Lenders.</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Maximum Rate.</w:t>
      </w:r>
      <w:r>
        <w:rPr>
          <w:rFonts w:ascii="Times New Roman" w:hAnsi="Times New Roman"/>
          <w:color w:val="000000"/>
          <w:sz w:val="20"/>
        </w:rPr>
        <w:t xml:space="preserve"> </w:t>
      </w:r>
      <w:r>
        <w:rPr>
          <w:rFonts w:ascii="Times New Roman" w:hAnsi="Times New Roman"/>
          <w:color w:val="000000"/>
          <w:sz w:val="24"/>
        </w:rPr>
        <w:t>Notwithstanding any other provision of this Agreement, in no event will any interest or 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pStyle w:val="TextBody"/>
        <w:bidi w:val="0"/>
        <w:spacing w:before="280" w:after="283"/>
        <w:jc w:val="both"/>
        <w:rPr>
          <w:rFonts w:ascii="Times New Roman" w:hAnsi="Times New Roman"/>
          <w:sz w:val="20"/>
        </w:rPr>
      </w:pPr>
      <w:r>
        <w:rPr>
          <w:rFonts w:ascii="Times New Roman" w:hAnsi="Times New Roman"/>
          <w:i/>
          <w:color w:val="000000"/>
          <w:sz w:val="24"/>
        </w:rPr>
        <w:t>Section 3.03.</w:t>
      </w:r>
      <w:r>
        <w:rPr>
          <w:rFonts w:ascii="Times New Roman" w:hAnsi="Times New Roman"/>
          <w:color w:val="000000"/>
          <w:sz w:val="20"/>
        </w:rPr>
        <w:t xml:space="preserve"> </w:t>
      </w:r>
      <w:r>
        <w:rPr>
          <w:rFonts w:ascii="Times New Roman" w:hAnsi="Times New Roman"/>
          <w:i/>
          <w:color w:val="000000"/>
          <w:sz w:val="24"/>
        </w:rPr>
        <w:t>Prepayments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Optional Prepayments.</w:t>
      </w:r>
      <w:r>
        <w:rPr>
          <w:rFonts w:ascii="Times New Roman" w:hAnsi="Times New Roman"/>
          <w:color w:val="000000"/>
          <w:sz w:val="20"/>
        </w:rPr>
        <w:t xml:space="preserve"> </w:t>
      </w:r>
    </w:p>
    <w:p>
      <w:pPr>
        <w:pStyle w:val="TextBody"/>
        <w:bidi w:val="0"/>
        <w:spacing w:before="32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The Borrower shall have the right to optionally prepay in whole or in part (in a minimum amount of $500,000 and integral multiples of $100,000 in excess of that amount for each partial prepayment, or, if less, the entire outstanding principal amount of the Term Loans) the outstanding principal amount of the Term Loans on any Business Day (a </w:t>
      </w:r>
      <w:r>
        <w:rPr>
          <w:rFonts w:ascii="Times New Roman" w:hAnsi="Times New Roman"/>
          <w:color w:val="000000"/>
          <w:sz w:val="20"/>
        </w:rPr>
        <w:t>“</w:t>
      </w:r>
      <w:r>
        <w:rPr>
          <w:rFonts w:ascii="Times New Roman" w:hAnsi="Times New Roman"/>
          <w:i/>
          <w:color w:val="000000"/>
          <w:sz w:val="24"/>
        </w:rPr>
        <w:t>Redemption Date”</w:t>
      </w:r>
      <w:r>
        <w:rPr>
          <w:rFonts w:ascii="Times New Roman" w:hAnsi="Times New Roman"/>
          <w:color w:val="000000"/>
          <w:sz w:val="24"/>
        </w:rPr>
        <w:t xml:space="preserve">) for an amount equal to the sum of (x) the aggregate principal amount of the Term Loans being prepaid, (y) the prepayment premium set forth in clause (ii) below (the </w:t>
      </w:r>
      <w:r>
        <w:rPr>
          <w:rFonts w:ascii="Times New Roman" w:hAnsi="Times New Roman"/>
          <w:color w:val="000000"/>
          <w:sz w:val="20"/>
        </w:rPr>
        <w:t>“</w:t>
      </w:r>
      <w:r>
        <w:rPr>
          <w:rFonts w:ascii="Times New Roman" w:hAnsi="Times New Roman"/>
          <w:i/>
          <w:color w:val="000000"/>
          <w:sz w:val="24"/>
        </w:rPr>
        <w:t>Prepayment Premium”</w:t>
      </w:r>
      <w:r>
        <w:rPr>
          <w:rFonts w:ascii="Times New Roman" w:hAnsi="Times New Roman"/>
          <w:color w:val="000000"/>
          <w:sz w:val="24"/>
        </w:rPr>
        <w:t xml:space="preserve">) and (z) any accrued but unpaid interest in respect of the aggregate principal amount of the Term Loans being prepaid (such aggregate amount, the </w:t>
      </w:r>
      <w:r>
        <w:rPr>
          <w:rFonts w:ascii="Times New Roman" w:hAnsi="Times New Roman"/>
          <w:color w:val="000000"/>
          <w:sz w:val="20"/>
        </w:rPr>
        <w:t>“</w:t>
      </w:r>
      <w:r>
        <w:rPr>
          <w:rFonts w:ascii="Times New Roman" w:hAnsi="Times New Roman"/>
          <w:i/>
          <w:color w:val="000000"/>
          <w:sz w:val="24"/>
        </w:rPr>
        <w:t>Redemption Price”</w:t>
      </w:r>
      <w:r>
        <w:rPr>
          <w:rFonts w:ascii="Times New Roman" w:hAnsi="Times New Roman"/>
          <w:color w:val="000000"/>
          <w:sz w:val="24"/>
        </w:rPr>
        <w:t>). The applicable Prepayment Premium shall be an amount calculated pursuant to Section 3.03(a)(ii).</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If the Redemption Date occurs:</w:t>
      </w:r>
    </w:p>
    <w:p>
      <w:pPr>
        <w:pStyle w:val="TextBody"/>
        <w:bidi w:val="0"/>
        <w:spacing w:before="24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on or prior to the first anniversary of the Closing Date, the Prepayment Premium shall be an amount equal to ten percent (10%) of the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aggregate outstanding principal amount of the Term Loans being prepaid on such Redemption Date;</w:t>
      </w:r>
    </w:p>
    <w:p>
      <w:pPr>
        <w:pStyle w:val="TextBody"/>
        <w:bidi w:val="0"/>
        <w:spacing w:before="24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after the first anniversary of the Closing Date and on or prior to the second anniversary of the Closing Date, the Prepayment Premium shall be an amount equal to nine percent (9%) of the aggregate outstanding principal amount of the Term Loans being prepaid on such Redemption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after the second anniversary of the Closing Date and on or prior to the third anniversary of the Closing Date, the Prepayment Premium shall be an amount equal to five percent (5%) of the aggregate outstanding principal amount of the Term Loans being prepaid on such Redemption Date; and</w:t>
      </w:r>
    </w:p>
    <w:p>
      <w:pPr>
        <w:pStyle w:val="TextBody"/>
        <w:bidi w:val="0"/>
        <w:spacing w:before="24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after the third anniversary of the Closing Date and on or prior to the fourth anniversary of the Closing Date, the Prepayment Premium shall be an amount equal to one percent (1%) of the aggregate outstanding principal amount of the Term Loans being prepaid on such Redemption Date.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 Prepayment Premium shall be due with respect to repayment of the Term Loans after the fourth anniversary of the Closing Date and on or prior to the Stated Maturity Date.</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Mandatory Prepayments.</w:t>
      </w:r>
      <w:r>
        <w:rPr>
          <w:rFonts w:ascii="Times New Roman" w:hAnsi="Times New Roman"/>
          <w:color w:val="000000"/>
          <w:sz w:val="20"/>
        </w:rPr>
        <w:t xml:space="preserve"> </w:t>
      </w:r>
      <w:r>
        <w:rPr>
          <w:rFonts w:ascii="Times New Roman" w:hAnsi="Times New Roman"/>
          <w:color w:val="000000"/>
          <w:sz w:val="24"/>
        </w:rPr>
        <w:t>The Borrower shall prepay the Term Loans in amounts as provided below, plus 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w:t>
      </w:r>
    </w:p>
    <w:p>
      <w:pPr>
        <w:pStyle w:val="TextBody"/>
        <w:bidi w:val="0"/>
        <w:spacing w:before="32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In the event of any Casualty Event, an amount equal to 100% of the Net Cash Proceeds received by any Obligor with respect thereto;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 xml:space="preserve">so long as no Default has occurred and is continuing, within one hundred eighty (180) days after receipt of such Net Cash Proceeds, the Obligors may apply the Net Cash Proceeds of any casualty policy up to $500,000 with respect to any loss, but not exceeding $750,000 in the aggregate for all losses under all casualty policies during the term of this Agreement, toward the replacement or repair of destroyed or damaged property;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that any such replaced or repaired property shall be Collateral in which the Administrative Agent for the benefit of the Lenders has been granted a security interest under the Security Documents.</w:t>
      </w:r>
    </w:p>
    <w:p>
      <w:pPr>
        <w:pStyle w:val="TextBody"/>
        <w:bidi w:val="0"/>
        <w:spacing w:before="32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 the event any Obligor incurs Indebtedness other than Indebtedness that is permitted by Section 9.01 hereof, 100% of the proceeds thereof received by such Obligor. For the avoidance of doubt, any prepayment made 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w:t>
      </w:r>
    </w:p>
    <w:p>
      <w:pPr>
        <w:pStyle w:val="TextBody"/>
        <w:bidi w:val="0"/>
        <w:spacing w:before="32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In the event any Obligor consummates an Asset Sale other than an Asset Sale that is permitted by Section 9.09 hereof (other than Section 9.09(i)), 100% of the Net Cash Proceeds received by such Obligor in connection with such Asset Sale; </w:t>
      </w:r>
      <w:r>
        <w:rPr>
          <w:rFonts w:ascii="Times New Roman" w:hAnsi="Times New Roman"/>
          <w:i/>
          <w:color w:val="000000"/>
          <w:sz w:val="24"/>
        </w:rPr>
        <w:t>provided,</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20" w:after="283"/>
        <w:jc w:val="both"/>
        <w:rPr>
          <w:rFonts w:ascii="Times New Roman" w:hAnsi="Times New Roman"/>
          <w:sz w:val="20"/>
        </w:rPr>
      </w:pPr>
      <w:r>
        <w:rPr>
          <w:rFonts w:ascii="Times New Roman" w:hAnsi="Times New Roman"/>
          <w:i/>
          <w:color w:val="000000"/>
          <w:sz w:val="24"/>
        </w:rPr>
        <w:t>however,</w:t>
      </w:r>
      <w:r>
        <w:rPr>
          <w:rFonts w:ascii="Times New Roman" w:hAnsi="Times New Roman"/>
          <w:color w:val="000000"/>
          <w:sz w:val="20"/>
        </w:rPr>
        <w:t xml:space="preserve"> </w:t>
      </w:r>
      <w:r>
        <w:rPr>
          <w:rFonts w:ascii="Times New Roman" w:hAnsi="Times New Roman"/>
          <w:color w:val="000000"/>
          <w:sz w:val="24"/>
        </w:rPr>
        <w:t xml:space="preserve">so long as no Default has occurred and is continuing, within one hundred eighty (180) days after receipt of such Net Cash Proceeds, the Obligors may use such Net Cash Proceeds not exceeding $1,000,000 in the aggregate for all Asset Sales during the term of this Agreement, to purchase, replace, repair or restore properties or assets used in the Obligors’ businesses;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that any such purchased, replaced, repaired or restored property shall be Collateral in which the Administrative Agent for the benefit of the Lenders has been granted a security interest under the Security Documents. For the avoidance of doubt, any prepayment made pursuant to this Section 3.03(b)(iii) shall not be deemed to be a consent to any Asset Sale or a cure or waiver of any Event of Default which occurs in connection therewith, it being understood that any such Event of Default may only be waived with the express consent of the Majority Lenders.</w:t>
      </w:r>
    </w:p>
    <w:p>
      <w:pPr>
        <w:pStyle w:val="TextBody"/>
        <w:bidi w:val="0"/>
        <w:spacing w:before="32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Prepayment Premium.</w:t>
      </w:r>
      <w:r>
        <w:rPr>
          <w:rFonts w:ascii="Times New Roman" w:hAnsi="Times New Roman"/>
          <w:color w:val="000000"/>
          <w:sz w:val="20"/>
        </w:rPr>
        <w:t xml:space="preserve"> </w:t>
      </w:r>
      <w:r>
        <w:rPr>
          <w:rFonts w:ascii="Times New Roman" w:hAnsi="Times New Roman"/>
          <w:color w:val="000000"/>
          <w:sz w:val="24"/>
        </w:rPr>
        <w:t xml:space="preserve">Payment of any Prepayment Premium under this Section 3.03 constitutes liquidated 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 THE PROVISIONS OF ANY PRESENT OR FUTURE STATUTE OR OTHER LAW THAT PROHIBITS OR MAY PROHIBIT THE COLLECTION OF THE FOREGOING </w:t>
      </w:r>
      <w:r>
        <w:rPr>
          <w:rFonts w:ascii="Times New Roman" w:hAnsi="Times New Roman"/>
          <w:caps/>
          <w:color w:val="000000"/>
          <w:sz w:val="24"/>
        </w:rPr>
        <w:t>Prepayment Premium</w:t>
      </w:r>
      <w:r>
        <w:rPr>
          <w:rFonts w:ascii="Times New Roman" w:hAnsi="Times New Roman"/>
          <w:color w:val="000000"/>
          <w:sz w:val="20"/>
        </w:rPr>
        <w:t xml:space="preserve"> </w:t>
      </w:r>
      <w:r>
        <w:rPr>
          <w:rFonts w:ascii="Times New Roman" w:hAnsi="Times New Roman"/>
          <w:color w:val="000000"/>
          <w:sz w:val="24"/>
        </w:rPr>
        <w:t>IN CONNECTION WITH ANY SUCH EVENTS. The Borrower and the other Obligors expressly agree (to the fullest extent it and they may lawfully do so) that with respect to any Prepayment Premium payable under the terms of this Agreement: (i) 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4 </w:t>
        <w:br/>
        <w:br/>
        <w:t>Payments, Etc.</w:t>
      </w:r>
    </w:p>
    <w:p>
      <w:pPr>
        <w:pStyle w:val="TextBody"/>
        <w:bidi w:val="0"/>
        <w:spacing w:before="280" w:after="283"/>
        <w:jc w:val="both"/>
        <w:rPr>
          <w:rFonts w:ascii="Times New Roman" w:hAnsi="Times New Roman"/>
          <w:sz w:val="20"/>
        </w:rPr>
      </w:pPr>
      <w:r>
        <w:rPr>
          <w:rFonts w:ascii="Times New Roman" w:hAnsi="Times New Roman"/>
          <w:i/>
          <w:color w:val="000000"/>
          <w:sz w:val="24"/>
        </w:rPr>
        <w:t>Section 4.01.</w:t>
      </w:r>
      <w:r>
        <w:rPr>
          <w:rFonts w:ascii="Times New Roman" w:hAnsi="Times New Roman"/>
          <w:color w:val="000000"/>
          <w:sz w:val="20"/>
        </w:rPr>
        <w:t xml:space="preserve"> </w:t>
      </w:r>
      <w:r>
        <w:rPr>
          <w:rFonts w:ascii="Times New Roman" w:hAnsi="Times New Roman"/>
          <w:i/>
          <w:color w:val="000000"/>
          <w:sz w:val="24"/>
        </w:rPr>
        <w:t>Payments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Payments Generally.</w:t>
      </w:r>
      <w:r>
        <w:rPr>
          <w:rFonts w:ascii="Times New Roman" w:hAnsi="Times New Roman"/>
          <w:color w:val="000000"/>
          <w:sz w:val="20"/>
        </w:rPr>
        <w:t xml:space="preserve"> </w:t>
      </w:r>
      <w:r>
        <w:rPr>
          <w:rFonts w:ascii="Times New Roman" w:hAnsi="Times New Roman"/>
          <w:color w:val="000000"/>
          <w:sz w:val="24"/>
        </w:rPr>
        <w:t>Each payment of principal, interest and other amounts to be made by the Obligors under this Agreement or any other Loan Document shall be made in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Dollars, in immediately available funds, without deduction, set off or counterclaim, to the deposit account of the Administrative Agent specified to the Borrower from time to time, not later than 2:00 p.m. (New York City time) on the date on which such payment shall become due (each such payment made after such time on such due date to be deemed to have been made on the next succeeding Business Day).</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Application of Payments Prior to a Default.</w:t>
      </w:r>
      <w:r>
        <w:rPr>
          <w:rFonts w:ascii="Times New Roman" w:hAnsi="Times New Roman"/>
          <w:color w:val="000000"/>
          <w:sz w:val="20"/>
        </w:rPr>
        <w:t xml:space="preserve"> </w:t>
      </w:r>
      <w:r>
        <w:rPr>
          <w:rFonts w:ascii="Times New Roman" w:hAnsi="Times New Roman"/>
          <w:color w:val="000000"/>
          <w:sz w:val="24"/>
        </w:rPr>
        <w:t>Prior to the occurrence of a Default, 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w:t>
      </w:r>
    </w:p>
    <w:p>
      <w:pPr>
        <w:pStyle w:val="TextBody"/>
        <w:bidi w:val="0"/>
        <w:spacing w:before="280" w:after="283"/>
        <w:jc w:val="both"/>
        <w:rPr>
          <w:rFonts w:ascii="Times New Roman" w:hAnsi="Times New Roman"/>
          <w:sz w:val="20"/>
        </w:rPr>
      </w:pPr>
      <w:r>
        <w:rPr>
          <w:rFonts w:ascii="Times New Roman" w:hAnsi="Times New Roman"/>
          <w:i/>
          <w:color w:val="000000"/>
          <w:sz w:val="24"/>
        </w:rPr>
        <w:t>(i)</w:t>
      </w:r>
      <w:r>
        <w:rPr>
          <w:rFonts w:ascii="Times New Roman" w:hAnsi="Times New Roman"/>
          <w:color w:val="000000"/>
          <w:sz w:val="20"/>
        </w:rPr>
        <w:t xml:space="preserve"> </w:t>
      </w:r>
      <w:r>
        <w:rPr>
          <w:rFonts w:ascii="Times New Roman" w:hAnsi="Times New Roman"/>
          <w:i/>
          <w:color w:val="000000"/>
          <w:sz w:val="24"/>
        </w:rPr>
        <w:t>first</w:t>
      </w:r>
      <w:r>
        <w:rPr>
          <w:rFonts w:ascii="Times New Roman" w:hAnsi="Times New Roman"/>
          <w:color w:val="000000"/>
          <w:sz w:val="24"/>
        </w:rPr>
        <w:t>, in reduction of the Borrower’s obligation to pay any unpaid interest and any fees then due and owing including, without limitation, any Prepayment Premium, if applicable; and</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second</w:t>
      </w:r>
      <w:r>
        <w:rPr>
          <w:rFonts w:ascii="Times New Roman" w:hAnsi="Times New Roman"/>
          <w:color w:val="000000"/>
          <w:sz w:val="24"/>
        </w:rPr>
        <w:t>, to the payment of unpaid principal of the Term Loans to the Lenders in accordance with each Lender’s Proportionate Share.</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Application of Payments Following a Default</w:t>
      </w:r>
      <w:r>
        <w:rPr>
          <w:rFonts w:ascii="Times New Roman" w:hAnsi="Times New Roman"/>
          <w:color w:val="000000"/>
          <w:sz w:val="24"/>
        </w:rPr>
        <w:t>. Following the occurrence of a Default, 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2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first</w:t>
      </w:r>
      <w:r>
        <w:rPr>
          <w:rFonts w:ascii="Times New Roman" w:hAnsi="Times New Roman"/>
          <w:color w:val="000000"/>
          <w:sz w:val="24"/>
        </w:rPr>
        <w:t>, to the payment of any unpaid costs and expenses referred to in Section 13.03(a) then due and owing;</w:t>
      </w:r>
    </w:p>
    <w:p>
      <w:pPr>
        <w:pStyle w:val="TextBody"/>
        <w:bidi w:val="0"/>
        <w:spacing w:before="32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second</w:t>
      </w:r>
      <w:r>
        <w:rPr>
          <w:rFonts w:ascii="Times New Roman" w:hAnsi="Times New Roman"/>
          <w:color w:val="000000"/>
          <w:sz w:val="24"/>
        </w:rPr>
        <w:t>, in reduction of the Borrower’s obligation to pay any unpaid interest and any fees then due and owing including, without limitation, (A) interest payable at the Default Rate and (B) any Prepayment Premium, if applicable;</w:t>
      </w:r>
    </w:p>
    <w:p>
      <w:pPr>
        <w:pStyle w:val="TextBody"/>
        <w:bidi w:val="0"/>
        <w:spacing w:before="32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third</w:t>
      </w:r>
      <w:r>
        <w:rPr>
          <w:rFonts w:ascii="Times New Roman" w:hAnsi="Times New Roman"/>
          <w:color w:val="000000"/>
          <w:sz w:val="24"/>
        </w:rPr>
        <w:t>, to the payment of the Exit Fee then due and payable pursuant to Section 2.03(b) (if any);</w:t>
      </w:r>
    </w:p>
    <w:p>
      <w:pPr>
        <w:pStyle w:val="TextBody"/>
        <w:bidi w:val="0"/>
        <w:spacing w:before="32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i/>
          <w:color w:val="000000"/>
          <w:sz w:val="24"/>
        </w:rPr>
        <w:t>fourth</w:t>
      </w:r>
      <w:r>
        <w:rPr>
          <w:rFonts w:ascii="Times New Roman" w:hAnsi="Times New Roman"/>
          <w:color w:val="000000"/>
          <w:sz w:val="24"/>
        </w:rPr>
        <w:t>, to the payment of unpaid principal of the Term Loans to the Lenders in accordance with each Lender’s Proportionate Share;</w:t>
      </w:r>
    </w:p>
    <w:p>
      <w:pPr>
        <w:pStyle w:val="TextBody"/>
        <w:bidi w:val="0"/>
        <w:spacing w:before="32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i/>
          <w:color w:val="000000"/>
          <w:sz w:val="24"/>
        </w:rPr>
        <w:t>fifth</w:t>
      </w:r>
      <w:r>
        <w:rPr>
          <w:rFonts w:ascii="Times New Roman" w:hAnsi="Times New Roman"/>
          <w:color w:val="000000"/>
          <w:sz w:val="24"/>
        </w:rPr>
        <w:t>, in reduction of the Borrower’s obligation to pay any Claims or Losses referred to in Section 13.03(b) then due and owing;</w:t>
      </w:r>
    </w:p>
    <w:p>
      <w:pPr>
        <w:pStyle w:val="TextBody"/>
        <w:bidi w:val="0"/>
        <w:spacing w:before="32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i/>
          <w:color w:val="000000"/>
          <w:sz w:val="24"/>
        </w:rPr>
        <w:t>sixth</w:t>
      </w:r>
      <w:r>
        <w:rPr>
          <w:rFonts w:ascii="Times New Roman" w:hAnsi="Times New Roman"/>
          <w:color w:val="000000"/>
          <w:sz w:val="24"/>
        </w:rPr>
        <w:t>, in reduction of any other Obligation then due and owing; and</w:t>
      </w:r>
    </w:p>
    <w:p>
      <w:pPr>
        <w:pStyle w:val="TextBody"/>
        <w:bidi w:val="0"/>
        <w:spacing w:before="320" w:after="283"/>
        <w:jc w:val="both"/>
        <w:rPr>
          <w:rFonts w:ascii="Times New Roman" w:hAnsi="Times New Roman"/>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i/>
          <w:color w:val="000000"/>
          <w:sz w:val="24"/>
        </w:rPr>
        <w:t>seventh</w:t>
      </w:r>
      <w:r>
        <w:rPr>
          <w:rFonts w:ascii="Times New Roman" w:hAnsi="Times New Roman"/>
          <w:color w:val="000000"/>
          <w:sz w:val="24"/>
        </w:rPr>
        <w:t>, to the Borrower or such other Persons as may lawfully be entitled to or directed by the Borrower to receive the remainder.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Non</w:t>
        <w:noBreakHyphen/>
        <w:t>Business Days.</w:t>
      </w:r>
      <w:r>
        <w:rPr>
          <w:rFonts w:ascii="Times New Roman" w:hAnsi="Times New Roman"/>
          <w:color w:val="000000"/>
          <w:sz w:val="20"/>
        </w:rPr>
        <w:t xml:space="preserve"> </w:t>
      </w:r>
      <w:r>
        <w:rPr>
          <w:rFonts w:ascii="Times New Roman" w:hAnsi="Times New Roman"/>
          <w:color w:val="000000"/>
          <w:sz w:val="24"/>
        </w:rPr>
        <w:t>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be payable for the period of such extension.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4.02.</w:t>
      </w:r>
      <w:r>
        <w:rPr>
          <w:rFonts w:ascii="Times New Roman" w:hAnsi="Times New Roman"/>
          <w:color w:val="000000"/>
          <w:sz w:val="20"/>
        </w:rPr>
        <w:t xml:space="preserve"> </w:t>
      </w:r>
      <w:r>
        <w:rPr>
          <w:rFonts w:ascii="Times New Roman" w:hAnsi="Times New Roman"/>
          <w:i/>
          <w:color w:val="000000"/>
          <w:sz w:val="24"/>
        </w:rPr>
        <w:t>Computations.</w:t>
      </w:r>
      <w:r>
        <w:rPr>
          <w:rFonts w:ascii="Times New Roman" w:hAnsi="Times New Roman"/>
          <w:color w:val="000000"/>
          <w:sz w:val="20"/>
        </w:rPr>
        <w:t xml:space="preserve"> </w:t>
      </w:r>
      <w:r>
        <w:rPr>
          <w:rFonts w:ascii="Times New Roman" w:hAnsi="Times New Roman"/>
          <w:color w:val="000000"/>
          <w:sz w:val="24"/>
        </w:rPr>
        <w:t>All computations of interest and fees hereunder shall be computed on the basis of a year of 360 days and actual days elapsed during the period for which payable.</w:t>
      </w:r>
    </w:p>
    <w:p>
      <w:pPr>
        <w:pStyle w:val="TextBody"/>
        <w:bidi w:val="0"/>
        <w:spacing w:before="280" w:after="283"/>
        <w:jc w:val="both"/>
        <w:rPr>
          <w:rFonts w:ascii="Times New Roman" w:hAnsi="Times New Roman"/>
          <w:sz w:val="20"/>
        </w:rPr>
      </w:pPr>
      <w:r>
        <w:rPr>
          <w:rFonts w:ascii="Times New Roman" w:hAnsi="Times New Roman"/>
          <w:i/>
          <w:color w:val="000000"/>
          <w:sz w:val="24"/>
        </w:rPr>
        <w:t>Section 4.03.</w:t>
      </w:r>
      <w:r>
        <w:rPr>
          <w:rFonts w:ascii="Times New Roman" w:hAnsi="Times New Roman"/>
          <w:color w:val="000000"/>
          <w:sz w:val="20"/>
        </w:rPr>
        <w:t xml:space="preserve"> </w:t>
      </w:r>
      <w:r>
        <w:rPr>
          <w:rFonts w:ascii="Times New Roman" w:hAnsi="Times New Roman"/>
          <w:i/>
          <w:color w:val="000000"/>
          <w:sz w:val="24"/>
        </w:rPr>
        <w:t>Notices.</w:t>
      </w:r>
      <w:r>
        <w:rPr>
          <w:rFonts w:ascii="Times New Roman" w:hAnsi="Times New Roman"/>
          <w:color w:val="000000"/>
          <w:sz w:val="20"/>
        </w:rPr>
        <w:t xml:space="preserve"> </w:t>
      </w:r>
      <w:r>
        <w:rPr>
          <w:rFonts w:ascii="Times New Roman" w:hAnsi="Times New Roman"/>
          <w:color w:val="000000"/>
          <w:sz w:val="24"/>
        </w:rPr>
        <w:t>Each notice of optional prepayment shall be effective only if received by the Lenders not later than 2:00 p.m. (New York City time) on the date three (3) Business Days prior to the date of prepayment. Each notice of optional prepayment shall specify the amount to be prepaid and the date of prepayment.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4.04.</w:t>
      </w:r>
      <w:r>
        <w:rPr>
          <w:rFonts w:ascii="Times New Roman" w:hAnsi="Times New Roman"/>
          <w:color w:val="000000"/>
          <w:sz w:val="20"/>
        </w:rPr>
        <w:t xml:space="preserve"> </w:t>
      </w:r>
      <w:r>
        <w:rPr>
          <w:rFonts w:ascii="Times New Roman" w:hAnsi="Times New Roman"/>
          <w:i/>
          <w:color w:val="000000"/>
          <w:sz w:val="24"/>
        </w:rPr>
        <w:t>Set</w:t>
        <w:noBreakHyphen/>
        <w:t>Off</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Set</w:t>
        <w:noBreakHyphen/>
        <w:t>Off Generally.</w:t>
      </w:r>
      <w:r>
        <w:rPr>
          <w:rFonts w:ascii="Times New Roman" w:hAnsi="Times New Roman"/>
          <w:color w:val="000000"/>
          <w:sz w:val="20"/>
        </w:rPr>
        <w:t xml:space="preserve"> </w:t>
      </w:r>
      <w:r>
        <w:rPr>
          <w:rFonts w:ascii="Times New Roman" w:hAnsi="Times New Roman"/>
          <w:color w:val="000000"/>
          <w:sz w:val="24"/>
        </w:rPr>
        <w:t>Upon the occurrence and during the continuance of any Event of Default, the 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unmatured. The Lenders agree promptly to notify the Borrower after any such set</w:t>
        <w:noBreakHyphen/>
        <w:t xml:space="preserve">off and application,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failure to give such notice shall not affect the validity of such set</w:t>
        <w:noBreakHyphen/>
        <w:t>off and application. The rights of the Lenders and their respective Affiliates under this Section 4.04 are in addition to other rights and remedies (including other rights of set</w:t>
        <w:noBreakHyphen/>
        <w:t>off) that the Lenders and their respective Affiliates may have.</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Exercise of Rights Not Required.</w:t>
      </w:r>
      <w:r>
        <w:rPr>
          <w:rFonts w:ascii="Times New Roman" w:hAnsi="Times New Roman"/>
          <w:color w:val="000000"/>
          <w:sz w:val="20"/>
        </w:rPr>
        <w:t xml:space="preserve"> </w:t>
      </w:r>
      <w:r>
        <w:rPr>
          <w:rFonts w:ascii="Times New Roman" w:hAnsi="Times New Roman"/>
          <w:color w:val="000000"/>
          <w:sz w:val="24"/>
        </w:rPr>
        <w:t>Nothing contained herein shall require the Administrative Agent, the Lenders or any of their respective Affiliates to exercise any such right or shall affect the right of such Persons to exercise, and retain the benefits of exercising, any such right with respect to any other Indebtedness or obligation of any Obligor.</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5</w:t>
        <w:br/>
        <w:br/>
        <w:t>Yield Protection, Etc.</w:t>
      </w:r>
    </w:p>
    <w:p>
      <w:pPr>
        <w:pStyle w:val="TextBody"/>
        <w:bidi w:val="0"/>
        <w:spacing w:before="280" w:after="283"/>
        <w:jc w:val="both"/>
        <w:rPr>
          <w:rFonts w:ascii="Times New Roman" w:hAnsi="Times New Roman"/>
          <w:sz w:val="20"/>
        </w:rPr>
      </w:pPr>
      <w:r>
        <w:rPr>
          <w:rFonts w:ascii="Times New Roman" w:hAnsi="Times New Roman"/>
          <w:i/>
          <w:color w:val="000000"/>
          <w:sz w:val="24"/>
        </w:rPr>
        <w:t>Section 5.01.</w:t>
      </w:r>
      <w:r>
        <w:rPr>
          <w:rFonts w:ascii="Times New Roman" w:hAnsi="Times New Roman"/>
          <w:color w:val="000000"/>
          <w:sz w:val="20"/>
        </w:rPr>
        <w:t xml:space="preserve"> </w:t>
      </w:r>
      <w:r>
        <w:rPr>
          <w:rFonts w:ascii="Times New Roman" w:hAnsi="Times New Roman"/>
          <w:i/>
          <w:color w:val="000000"/>
          <w:sz w:val="24"/>
        </w:rPr>
        <w:t>Additional Costs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Change in Requirements of Law Generally.</w:t>
      </w:r>
      <w:r>
        <w:rPr>
          <w:rFonts w:ascii="Times New Roman" w:hAnsi="Times New Roman"/>
          <w:color w:val="000000"/>
          <w:sz w:val="20"/>
        </w:rPr>
        <w:t xml:space="preserve"> </w:t>
      </w:r>
      <w:r>
        <w:rPr>
          <w:rFonts w:ascii="Times New Roman" w:hAnsi="Times New Roman"/>
          <w:color w:val="000000"/>
          <w:sz w:val="24"/>
        </w:rPr>
        <w:t xml:space="preserve">If, on or after the date hereof, the adoption of any Requirement of Law, or 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against assets of, deposits with or for the account of, or credit extended by, a Lender (or its lending office) or shall impose on a Lender (or its lending office) any other condition affecting the Term Loans or the Commitments,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Taxes described in clauses (b) through (d) of the definition of </w:t>
      </w:r>
      <w:r>
        <w:rPr>
          <w:rFonts w:ascii="Times New Roman" w:hAnsi="Times New Roman"/>
          <w:color w:val="000000"/>
          <w:sz w:val="20"/>
        </w:rPr>
        <w:t>“</w:t>
      </w:r>
      <w:r>
        <w:rPr>
          <w:rFonts w:ascii="Times New Roman" w:hAnsi="Times New Roman"/>
          <w:i/>
          <w:color w:val="000000"/>
          <w:sz w:val="24"/>
        </w:rPr>
        <w:t>Excluded Taxes”</w:t>
      </w:r>
      <w:r>
        <w:rPr>
          <w:rFonts w:ascii="Times New Roman" w:hAnsi="Times New Roman"/>
          <w:color w:val="000000"/>
          <w:sz w:val="24"/>
        </w:rPr>
        <w:t>and (iii) Connection Income Taxes), then the Borrower shall promptly pay to such Lender within three (3) Business Days following demand (which demand shall be accompanied by a statement setting forth the basis for such demand and a calculation of the amount thereof in reasonable detail), such additional amount or amounts as will compensate such Lender for such increased cost or reduction. Notwithstanding anything herein to the contrary, (x) the Dodd</w:t>
        <w:noBreakHyphen/>
        <w:t>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Change in Capital Requirements.</w:t>
      </w:r>
      <w:r>
        <w:rPr>
          <w:rFonts w:ascii="Times New Roman" w:hAnsi="Times New Roman"/>
          <w:color w:val="000000"/>
          <w:sz w:val="20"/>
        </w:rPr>
        <w:t xml:space="preserve"> </w:t>
      </w:r>
      <w:r>
        <w:rPr>
          <w:rFonts w:ascii="Times New Roman" w:hAnsi="Times New Roman"/>
          <w:color w:val="000000"/>
          <w:sz w:val="24"/>
        </w:rPr>
        <w:t>If a Lender shall have determined that, on or after the date hereof, the adoption of any Requirement of Law regarding capital adequacy, or any change therein, or any change in the interpretation or administration thereof by any Governmental</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Authority charged with the interpretation or administration thereof, or any request or directive regarding capital adequacy (whether or not having the force of law) of any such Governmental Authority, in each case that becomes effective after the date hereof, has or would have the effect of reducing the rate of return on capital of a Lender (or its parent) as a consequence of a Lender’s obligations hereunder or the Term Loans to a level below that which a Lender (or its parent) could have achieved but for such adoption, change, request or directive by an amount reasonably deemed by it to be material, then Obligors shall promptly pay to such Lender on demand such additional amount or amounts as will compensate such Lender (or its parent) for such reduction.</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Notification by Lender.</w:t>
      </w:r>
      <w:r>
        <w:rPr>
          <w:rFonts w:ascii="Times New Roman" w:hAnsi="Times New Roman"/>
          <w:color w:val="000000"/>
          <w:sz w:val="20"/>
        </w:rPr>
        <w:t xml:space="preserve"> </w:t>
      </w:r>
      <w:r>
        <w:rPr>
          <w:rFonts w:ascii="Times New Roman" w:hAnsi="Times New Roman"/>
          <w:color w:val="000000"/>
          <w:sz w:val="24"/>
        </w:rPr>
        <w:t>The Lenders will promptly notify the Borrower of any event of which it has knowledge, occurring after the date hereof, which will entitle a Lender to compensation pursuant to this Section 5.01. Before giving any such notice pursuant to this Section 5.01(c) such Lender shall designate a different lending office if such designation (i) will, in the reasonable judgment of such Lender, avoid the need for, or reduce the amount of, such compensation and (ii) will not, in the reasonable judgment of such Lender, be materially disadvantageous to such Lender. A certificate of the Lender claiming compensation under this Section 5.01, setting forth the amount or amounts to be paid to it hereunder, shall be conclusive and binding on Obligors in the absence of manifest error.</w:t>
      </w:r>
    </w:p>
    <w:p>
      <w:pPr>
        <w:pStyle w:val="TextBody"/>
        <w:bidi w:val="0"/>
        <w:spacing w:before="280" w:after="283"/>
        <w:jc w:val="both"/>
        <w:rPr>
          <w:rFonts w:ascii="Times New Roman" w:hAnsi="Times New Roman"/>
          <w:sz w:val="20"/>
        </w:rPr>
      </w:pPr>
      <w:r>
        <w:rPr>
          <w:rFonts w:ascii="Times New Roman" w:hAnsi="Times New Roman"/>
          <w:i/>
          <w:color w:val="000000"/>
          <w:sz w:val="24"/>
        </w:rPr>
        <w:t>Section 5.02.</w:t>
      </w:r>
      <w:r>
        <w:rPr>
          <w:rFonts w:ascii="Times New Roman" w:hAnsi="Times New Roman"/>
          <w:color w:val="000000"/>
          <w:sz w:val="20"/>
        </w:rPr>
        <w:t xml:space="preserve"> </w:t>
      </w:r>
      <w:r>
        <w:rPr>
          <w:rFonts w:ascii="Times New Roman" w:hAnsi="Times New Roman"/>
          <w:i/>
          <w:color w:val="000000"/>
          <w:sz w:val="24"/>
        </w:rPr>
        <w:t>Illegality.</w:t>
      </w:r>
      <w:r>
        <w:rPr>
          <w:rFonts w:ascii="Times New Roman" w:hAnsi="Times New Roman"/>
          <w:color w:val="000000"/>
          <w:sz w:val="20"/>
        </w:rPr>
        <w:t xml:space="preserve"> </w:t>
      </w:r>
      <w:r>
        <w:rPr>
          <w:rFonts w:ascii="Times New Roman" w:hAnsi="Times New Roman"/>
          <w:color w:val="000000"/>
          <w:sz w:val="24"/>
        </w:rPr>
        <w:t>Notwithstanding any other provision of this Agreement, in the event that on or after the date hereof the adoption of or any change in any Requirement of Law or in the interpretation or application thereof by any competent Governmental Authority shall make it unlawful for a Lender or its lending office to make or maintain the Term Loans (and, in the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 (b) if such Requirement of Law shall so mandate, the Term Loans shall be prepaid by Obligors on or before such date as shall be mandated by such Requirement of Law in an amount equal to the Redemption Price applicable on the date of such prepayment in accordance with Section 3.03(a).</w:t>
      </w:r>
    </w:p>
    <w:p>
      <w:pPr>
        <w:pStyle w:val="TextBody"/>
        <w:bidi w:val="0"/>
        <w:spacing w:before="280" w:after="283"/>
        <w:jc w:val="both"/>
        <w:rPr>
          <w:rFonts w:ascii="Times New Roman" w:hAnsi="Times New Roman"/>
          <w:sz w:val="20"/>
        </w:rPr>
      </w:pPr>
      <w:r>
        <w:rPr>
          <w:rFonts w:ascii="Times New Roman" w:hAnsi="Times New Roman"/>
          <w:i/>
          <w:color w:val="000000"/>
          <w:sz w:val="24"/>
        </w:rPr>
        <w:t>Section 5.03.</w:t>
      </w:r>
      <w:r>
        <w:rPr>
          <w:rFonts w:ascii="Times New Roman" w:hAnsi="Times New Roman"/>
          <w:color w:val="000000"/>
          <w:sz w:val="20"/>
        </w:rPr>
        <w:t xml:space="preserve"> </w:t>
      </w:r>
      <w:r>
        <w:rPr>
          <w:rFonts w:ascii="Times New Roman" w:hAnsi="Times New Roman"/>
          <w:i/>
          <w:color w:val="000000"/>
          <w:sz w:val="24"/>
        </w:rPr>
        <w:t>Taxes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Payments Free of Taxes.</w:t>
      </w:r>
      <w:r>
        <w:rPr>
          <w:rFonts w:ascii="Times New Roman" w:hAnsi="Times New Roman"/>
          <w:color w:val="000000"/>
          <w:sz w:val="20"/>
        </w:rPr>
        <w:t xml:space="preserve"> </w:t>
      </w:r>
      <w:r>
        <w:rPr>
          <w:rFonts w:ascii="Times New Roman" w:hAnsi="Times New Roman"/>
          <w:color w:val="000000"/>
          <w:sz w:val="24"/>
        </w:rPr>
        <w:t>Any and all payments by or on account of any Obligation shall be made without deduction or withholding for any Taxes, except as required by applicable Law. If any applicable Law (as determined in the good faith discretion of the Administrative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 xml:space="preserve">Payment of Other Taxes by the Obligors. </w:t>
      </w:r>
      <w:r>
        <w:rPr>
          <w:rFonts w:ascii="Times New Roman" w:hAnsi="Times New Roman"/>
          <w:color w:val="000000"/>
          <w:sz w:val="24"/>
        </w:rPr>
        <w:t>The Obligors shall timely pay to the relevant Governmental Authority in accordance with applicable Law, or at the option of the Administrative Agent, timely reimburse it for, Other Taxes.</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Evidence of Payments.</w:t>
      </w:r>
      <w:r>
        <w:rPr>
          <w:rFonts w:ascii="Times New Roman" w:hAnsi="Times New Roman"/>
          <w:color w:val="000000"/>
          <w:sz w:val="20"/>
        </w:rPr>
        <w:t xml:space="preserve"> </w:t>
      </w:r>
      <w:r>
        <w:rPr>
          <w:rFonts w:ascii="Times New Roman" w:hAnsi="Times New Roman"/>
          <w:color w:val="000000"/>
          <w:sz w:val="24"/>
        </w:rPr>
        <w:t>As soon as practicable after any payment of Taxes by Obligors to a Governmental Authority, as a withholding Tax 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 xml:space="preserve">Indemnification. </w:t>
      </w:r>
      <w:r>
        <w:rPr>
          <w:rFonts w:ascii="Times New Roman" w:hAnsi="Times New Roman"/>
          <w:color w:val="000000"/>
          <w:sz w:val="24"/>
        </w:rPr>
        <w:t>The Obligors shall reimburse and indemnify each Recipient, within ten (10) days after demand therefor, for the full amount 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 xml:space="preserve">Indemnification by the Lenders. </w:t>
      </w:r>
      <w:r>
        <w:rPr>
          <w:rFonts w:ascii="Times New Roman" w:hAnsi="Times New Roman"/>
          <w:color w:val="000000"/>
          <w:sz w:val="24"/>
        </w:rPr>
        <w:t>Each Lender shall severally indemnify the Administrative Agent, within ten (10) days after demand therefor, for (i) any Indemnified Taxes attributable to such Lender (but only to the extent that the Obligors have not already indemnified the Administrative Agent for such Indemnified Taxes and without limiting the obligation of the Obligors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Status of Lenders.</w:t>
      </w:r>
      <w:r>
        <w:rPr>
          <w:rFonts w:ascii="Times New Roman" w:hAnsi="Times New Roman"/>
          <w:color w:val="000000"/>
          <w:sz w:val="20"/>
        </w:rPr>
        <w:t xml:space="preserve"> </w:t>
      </w:r>
    </w:p>
    <w:p>
      <w:pPr>
        <w:pStyle w:val="TextBody"/>
        <w:bidi w:val="0"/>
        <w:spacing w:before="32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32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Without limiting the generality of the foregoing:</w:t>
      </w:r>
    </w:p>
    <w:p>
      <w:pPr>
        <w:pStyle w:val="TextBody"/>
        <w:bidi w:val="0"/>
        <w:spacing w:before="32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w:t>
        <w:noBreakHyphen/>
        <w:t>9 (or successor form) certifying that such Lender is exempt from U.S. Federal backup withholding Tax;</w:t>
      </w:r>
    </w:p>
    <w:p>
      <w:pPr>
        <w:pStyle w:val="TextBody"/>
        <w:bidi w:val="0"/>
        <w:spacing w:before="32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320" w:after="283"/>
        <w:jc w:val="both"/>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in the case of a Foreign Lender claiming the benefits of an income Tax treaty to which the United States is a party (x) with respect to payments of interest under any Loan Document, duly completed, valid executed copies of IRS Form W</w:t>
        <w:noBreakHyphen/>
        <w:t>8BEN (or successor form) or IRS Form W</w:t>
        <w:noBreakHyphen/>
        <w:t>8BEN</w:t>
        <w:noBreakHyphen/>
        <w:t>E (or successor form) establishing an exemption from, or reduction of, U.S. Federal withholding Tax pursuant to the “interest” article of such Tax treaty and (y) with respect to any other applicable payments under any Loan Document, duly completed, valid, executed originals of IRS Form W</w:t>
        <w:noBreakHyphen/>
        <w:t>8BEN (or successor form) or IRS Form W</w:t>
        <w:noBreakHyphen/>
        <w:t>8BEN</w:t>
        <w:noBreakHyphen/>
        <w:t>E (or successor form) establishing an exemption from, or reduction of, U.S. Federal withholding Tax pursuant to the “business profits” or “other income” article of such Tax treaty;</w:t>
      </w:r>
    </w:p>
    <w:p>
      <w:pPr>
        <w:pStyle w:val="TextBody"/>
        <w:bidi w:val="0"/>
        <w:spacing w:before="320" w:after="283"/>
        <w:jc w:val="both"/>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duly completed, valid, executed copies of IRS Form W</w:t>
        <w:noBreakHyphen/>
        <w:t>8ECI (or successor form);</w:t>
      </w:r>
    </w:p>
    <w:p>
      <w:pPr>
        <w:pStyle w:val="TextBody"/>
        <w:bidi w:val="0"/>
        <w:spacing w:before="320" w:after="283"/>
        <w:jc w:val="both"/>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 xml:space="preserve">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color w:val="000000"/>
          <w:sz w:val="20"/>
        </w:rPr>
        <w:t>“</w:t>
      </w:r>
      <w:r>
        <w:rPr>
          <w:rFonts w:ascii="Times New Roman" w:hAnsi="Times New Roman"/>
          <w:i/>
          <w:color w:val="000000"/>
          <w:sz w:val="24"/>
        </w:rPr>
        <w:t>U.S. Tax Compliance Certificate”</w:t>
      </w:r>
      <w:r>
        <w:rPr>
          <w:rFonts w:ascii="Times New Roman" w:hAnsi="Times New Roman"/>
          <w:color w:val="000000"/>
          <w:sz w:val="24"/>
        </w:rPr>
        <w:t>) and (y) executed copies of IRS Form</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W</w:t>
        <w:noBreakHyphen/>
        <w:t>8BEN (or successor form) or IRS Form W</w:t>
        <w:noBreakHyphen/>
        <w:t>8BEN</w:t>
        <w:noBreakHyphen/>
        <w:t>E (or successor form); or</w:t>
      </w:r>
    </w:p>
    <w:p>
      <w:pPr>
        <w:pStyle w:val="TextBody"/>
        <w:bidi w:val="0"/>
        <w:spacing w:before="320" w:after="283"/>
        <w:jc w:val="both"/>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to the extent a Foreign Lender is not the beneficial owner, duly completed, valid, executed copies of IRS Form W</w:t>
        <w:noBreakHyphen/>
        <w:t>8IMY (or successor form), accompanied by IRS Form W</w:t>
        <w:noBreakHyphen/>
        <w:t>8ECI (or successor form), IRS Form W</w:t>
        <w:noBreakHyphen/>
        <w:t>8BEN (or successor form), IRS Form W</w:t>
        <w:noBreakHyphen/>
        <w:t>8BEN</w:t>
        <w:noBreakHyphen/>
        <w:t>E (or successor form), a U.S. Tax Compliance Certificate, IRS Form W</w:t>
        <w:noBreakHyphen/>
        <w:t xml:space="preserve">9 (or successor form), and/or other certification documents from each beneficial owner, as applicable;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pStyle w:val="TextBody"/>
        <w:bidi w:val="0"/>
        <w:spacing w:before="32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32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Obligors or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w:t>
      </w:r>
    </w:p>
    <w:p>
      <w:pPr>
        <w:pStyle w:val="TextBody"/>
        <w:bidi w:val="0"/>
        <w:spacing w:before="28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Treatment of Certain Refunds.</w:t>
      </w:r>
      <w:r>
        <w:rPr>
          <w:rFonts w:ascii="Times New Roman" w:hAnsi="Times New Roman"/>
          <w:color w:val="000000"/>
          <w:sz w:val="20"/>
        </w:rPr>
        <w:t xml:space="preserve"> </w:t>
      </w:r>
      <w:r>
        <w:rPr>
          <w:rFonts w:ascii="Times New Roman" w:hAnsi="Times New Roman"/>
          <w:color w:val="000000"/>
          <w:sz w:val="24"/>
        </w:rPr>
        <w:t>If any party to this Agreement determines, in its sole discretion exercised in good faith, that it has received a refund of any Taxes as to which it has been indemnified pursuant to this Section 5.03 (including by the payment of additional</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amounts pursuant to this Section 5.03), it shall pay to the indemnifying party an amount equal to such refund (but only to the extent of indemnity payments made under this Section 5.03 with respect to the Taxes giving rise to such refund), net of all out</w:t>
        <w:noBreakHyphen/>
        <w:t>of</w:t>
        <w:noBreakHyphen/>
        <w:t>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w:t>
        <w:noBreakHyphen/>
        <w:t>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w:t>
      </w:r>
    </w:p>
    <w:p>
      <w:pPr>
        <w:pStyle w:val="TextBody"/>
        <w:bidi w:val="0"/>
        <w:spacing w:before="28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Mitigation Obligations.</w:t>
      </w:r>
      <w:r>
        <w:rPr>
          <w:rFonts w:ascii="Times New Roman" w:hAnsi="Times New Roman"/>
          <w:color w:val="000000"/>
          <w:sz w:val="20"/>
        </w:rPr>
        <w:t xml:space="preserve"> </w:t>
      </w:r>
      <w:r>
        <w:rPr>
          <w:rFonts w:ascii="Times New Roman" w:hAnsi="Times New Roman"/>
          <w:color w:val="000000"/>
          <w:sz w:val="24"/>
        </w:rPr>
        <w:t>If Obligors are required to pay any Indemnified Taxes or additional amounts to any Lender or to any Governmental 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Survival</w:t>
      </w:r>
      <w:r>
        <w:rPr>
          <w:rFonts w:ascii="Times New Roman" w:hAnsi="Times New Roman"/>
          <w:color w:val="000000"/>
          <w:sz w:val="24"/>
        </w:rPr>
        <w:t>. Each party’s obligations under this Article 5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5.04.</w:t>
      </w:r>
      <w:r>
        <w:rPr>
          <w:rFonts w:ascii="Times New Roman" w:hAnsi="Times New Roman"/>
          <w:color w:val="000000"/>
          <w:sz w:val="20"/>
        </w:rPr>
        <w:t xml:space="preserve"> </w:t>
      </w:r>
      <w:r>
        <w:rPr>
          <w:rFonts w:ascii="Times New Roman" w:hAnsi="Times New Roman"/>
          <w:i/>
          <w:color w:val="000000"/>
          <w:sz w:val="24"/>
        </w:rPr>
        <w:t>Delay in Requests</w:t>
      </w:r>
      <w:r>
        <w:rPr>
          <w:rFonts w:ascii="Times New Roman" w:hAnsi="Times New Roman"/>
          <w:color w:val="000000"/>
          <w:sz w:val="24"/>
        </w:rPr>
        <w:t xml:space="preserve">. Failure or delay on the part of any Lender to demand compensation pursuant to this Article 5 shall not constitute a waiver of such Lender’s right to demand such compensation;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Obligors shall not be required to compensate a Lender pursuant to this Article 5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6 </w:t>
        <w:br/>
        <w:br/>
        <w:t>Conditions Precedent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6.01.</w:t>
      </w:r>
      <w:r>
        <w:rPr>
          <w:rFonts w:ascii="Times New Roman" w:hAnsi="Times New Roman"/>
          <w:color w:val="000000"/>
          <w:sz w:val="20"/>
        </w:rPr>
        <w:t xml:space="preserve"> </w:t>
      </w:r>
      <w:r>
        <w:rPr>
          <w:rFonts w:ascii="Times New Roman" w:hAnsi="Times New Roman"/>
          <w:i/>
          <w:color w:val="000000"/>
          <w:sz w:val="24"/>
        </w:rPr>
        <w:t>Conditions to Tranche A Term Loan; Closing Date.</w:t>
      </w:r>
      <w:r>
        <w:rPr>
          <w:rFonts w:ascii="Times New Roman" w:hAnsi="Times New Roman"/>
          <w:color w:val="000000"/>
          <w:sz w:val="20"/>
        </w:rPr>
        <w:t xml:space="preserve"> </w:t>
      </w:r>
      <w:r>
        <w:rPr>
          <w:rFonts w:ascii="Times New Roman" w:hAnsi="Times New Roman"/>
          <w:color w:val="000000"/>
          <w:sz w:val="24"/>
        </w:rPr>
        <w:t>The obligation of each Lender to make the Tranche A Term Loan on the Closing Date shall not become effective until the following conditions precedent shall have been reasonably satisfied or waived in writing by the Administrative Agent (which satisfaction or waiver may be made simultaneously with the making of the Tranche A Term Loan hereunder):</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Organization and Capitalization</w:t>
      </w:r>
      <w:r>
        <w:rPr>
          <w:rFonts w:ascii="Times New Roman" w:hAnsi="Times New Roman"/>
          <w:color w:val="000000"/>
          <w:sz w:val="24"/>
        </w:rPr>
        <w:t>. The organizational structure and pro-forma capitalization of the Obligors, after giving effect to the Transactions, as set forth on Schedule 7.20 shall be satisfactory to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Terms of Material Agreements.</w:t>
      </w:r>
      <w:r>
        <w:rPr>
          <w:rFonts w:ascii="Times New Roman" w:hAnsi="Times New Roman"/>
          <w:color w:val="000000"/>
          <w:sz w:val="20"/>
        </w:rPr>
        <w:t xml:space="preserve"> </w:t>
      </w:r>
      <w:r>
        <w:rPr>
          <w:rFonts w:ascii="Times New Roman" w:hAnsi="Times New Roman"/>
          <w:color w:val="000000"/>
          <w:sz w:val="24"/>
        </w:rPr>
        <w:t>The Administrative Agent shall be satisfied in its sole discretion with the terms and conditions of all of the Obligors’ Material Agreements, including without limitation, the Material Agreements that are directly or indirectly associated with manufacturing, distribution and payment of royalties by any Obligor.</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No Law Restraining Transactions.</w:t>
      </w:r>
      <w:r>
        <w:rPr>
          <w:rFonts w:ascii="Times New Roman" w:hAnsi="Times New Roman"/>
          <w:color w:val="000000"/>
          <w:sz w:val="20"/>
        </w:rPr>
        <w:t xml:space="preserve"> </w:t>
      </w:r>
      <w:r>
        <w:rPr>
          <w:rFonts w:ascii="Times New Roman" w:hAnsi="Times New Roman"/>
          <w:color w:val="000000"/>
          <w:sz w:val="24"/>
        </w:rPr>
        <w:t>No applicable Law or regulation shall restrain, prevent or, in the reasonable judgment of the Administrative Agent, impose materially adverse conditions upon the Transactions.</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Lien Searches.</w:t>
      </w:r>
      <w:r>
        <w:rPr>
          <w:rFonts w:ascii="Times New Roman" w:hAnsi="Times New Roman"/>
          <w:color w:val="000000"/>
          <w:sz w:val="20"/>
        </w:rPr>
        <w:t xml:space="preserve"> </w:t>
      </w:r>
      <w:r>
        <w:rPr>
          <w:rFonts w:ascii="Times New Roman" w:hAnsi="Times New Roman"/>
          <w:color w:val="000000"/>
          <w:sz w:val="24"/>
        </w:rPr>
        <w:t>The Administrative Agent shall be satisfied with Lien searches regarding the Obligors made prior to the Closing Date.</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Documentary Deliveries.</w:t>
      </w:r>
      <w:r>
        <w:rPr>
          <w:rFonts w:ascii="Times New Roman" w:hAnsi="Times New Roman"/>
          <w:color w:val="000000"/>
          <w:sz w:val="20"/>
        </w:rPr>
        <w:t xml:space="preserve"> </w:t>
      </w:r>
      <w:r>
        <w:rPr>
          <w:rFonts w:ascii="Times New Roman" w:hAnsi="Times New Roman"/>
          <w:color w:val="000000"/>
          <w:sz w:val="24"/>
        </w:rPr>
        <w:t>The Administrative Agent shall have received the following documents, each of which shall be in form and substance satisfactory to the Administrative Agent:</w:t>
      </w:r>
    </w:p>
    <w:p>
      <w:pPr>
        <w:pStyle w:val="TextBody"/>
        <w:bidi w:val="0"/>
        <w:spacing w:before="32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Agreement.</w:t>
      </w:r>
      <w:r>
        <w:rPr>
          <w:rFonts w:ascii="Times New Roman" w:hAnsi="Times New Roman"/>
          <w:color w:val="000000"/>
          <w:sz w:val="20"/>
        </w:rPr>
        <w:t xml:space="preserve"> </w:t>
      </w:r>
      <w:r>
        <w:rPr>
          <w:rFonts w:ascii="Times New Roman" w:hAnsi="Times New Roman"/>
          <w:color w:val="000000"/>
          <w:sz w:val="24"/>
        </w:rPr>
        <w:t>This Agreement duly executed and delivered by the Obligors and each of the other parties hereto.</w:t>
      </w:r>
    </w:p>
    <w:p>
      <w:pPr>
        <w:pStyle w:val="TextBody"/>
        <w:bidi w:val="0"/>
        <w:spacing w:before="32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Security Documents.</w:t>
      </w:r>
      <w:r>
        <w:rPr>
          <w:rFonts w:ascii="Times New Roman" w:hAnsi="Times New Roman"/>
          <w:color w:val="000000"/>
          <w:sz w:val="20"/>
        </w:rPr>
        <w:t xml:space="preserve"> </w:t>
      </w:r>
    </w:p>
    <w:p>
      <w:pPr>
        <w:pStyle w:val="TextBody"/>
        <w:bidi w:val="0"/>
        <w:spacing w:before="32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 Security Documents, including, without limitation, the Security Agreement, each Short</w:t>
        <w:noBreakHyphen/>
        <w:t>Form IP Security Agreement, account control agreements and financing statements, each in form and substance satisfactory to the Administrative Agent and duly executed and delivered by each of the Obligors and the other parties thereto.</w:t>
      </w:r>
    </w:p>
    <w:p>
      <w:pPr>
        <w:pStyle w:val="TextBody"/>
        <w:bidi w:val="0"/>
        <w:spacing w:before="32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Collateral Questionnaire, duly executed and delivered by a Responsible Officer of the Borrower, substantially in the form of Exhibit I hereto and otherwise in form and substance satisfactory to the Administrative Agent.</w:t>
      </w:r>
    </w:p>
    <w:p>
      <w:pPr>
        <w:pStyle w:val="TextBody"/>
        <w:bidi w:val="0"/>
        <w:spacing w:before="32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Without limitation, all other documents and instruments reasonably required to perfect the Administrative Agent’s Lien on, and security interest in, the Collateral required to be delivered on or prior to the Closing Date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shall have been duly executed and delivered and be in proper form for filing, and shall create in favor of the Administrative Agent, a perfected Lien on, and security interest in, the Collateral, subject to no Liens other than Permitted Liens.</w:t>
      </w:r>
    </w:p>
    <w:p>
      <w:pPr>
        <w:pStyle w:val="TextBody"/>
        <w:bidi w:val="0"/>
        <w:spacing w:before="32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Notes.</w:t>
      </w:r>
      <w:r>
        <w:rPr>
          <w:rFonts w:ascii="Times New Roman" w:hAnsi="Times New Roman"/>
          <w:color w:val="000000"/>
          <w:sz w:val="20"/>
        </w:rPr>
        <w:t xml:space="preserve"> </w:t>
      </w:r>
      <w:r>
        <w:rPr>
          <w:rFonts w:ascii="Times New Roman" w:hAnsi="Times New Roman"/>
          <w:color w:val="000000"/>
          <w:sz w:val="24"/>
        </w:rPr>
        <w:t>Any Notes requested in accordance with Section 2.04.</w:t>
      </w:r>
    </w:p>
    <w:p>
      <w:pPr>
        <w:pStyle w:val="TextBody"/>
        <w:bidi w:val="0"/>
        <w:spacing w:before="32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i/>
          <w:color w:val="000000"/>
          <w:sz w:val="24"/>
        </w:rPr>
        <w:t>Fee Letter</w:t>
      </w:r>
      <w:r>
        <w:rPr>
          <w:rFonts w:ascii="Times New Roman" w:hAnsi="Times New Roman"/>
          <w:color w:val="000000"/>
          <w:sz w:val="24"/>
        </w:rPr>
        <w:t>. The Fee Letter duly executed and delivered by the Obligors, the Lenders and the Administrative Agent.</w:t>
      </w:r>
      <w:r>
        <w:rPr>
          <w:rFonts w:ascii="Times New Roman" w:hAnsi="Times New Roman"/>
          <w:color w:val="000000"/>
          <w:sz w:val="20"/>
        </w:rPr>
        <w:t xml:space="preserve"> </w:t>
      </w:r>
    </w:p>
    <w:p>
      <w:pPr>
        <w:pStyle w:val="TextBody"/>
        <w:bidi w:val="0"/>
        <w:spacing w:before="32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i/>
          <w:color w:val="000000"/>
          <w:sz w:val="24"/>
        </w:rPr>
        <w:t xml:space="preserve">Approvals. </w:t>
      </w:r>
      <w:r>
        <w:rPr>
          <w:rFonts w:ascii="Times New Roman" w:hAnsi="Times New Roman"/>
          <w:color w:val="000000"/>
          <w:sz w:val="24"/>
        </w:rPr>
        <w:t>The Borrower shall certify to the Administrative Agent that all Regulatory Approvals have been made or obtained, and all material licenses, consents, authorizations and approvals of, and notices to and filings and registrations with, any Governmental Authority (including all foreign exchange approvals) in connection with the Transactions have been made or obtained, and all material third</w:t>
        <w:noBreakHyphen/>
        <w:t>party consents and approvals, necessary in connection with the execution, delivery and performance by the Obligors of the Loan Documents and the Transactions have been obtained.</w:t>
      </w:r>
    </w:p>
    <w:p>
      <w:pPr>
        <w:pStyle w:val="TextBody"/>
        <w:bidi w:val="0"/>
        <w:spacing w:before="32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i/>
          <w:color w:val="000000"/>
          <w:sz w:val="24"/>
        </w:rPr>
        <w:t>Organizational Documents.</w:t>
      </w:r>
      <w:r>
        <w:rPr>
          <w:rFonts w:ascii="Times New Roman" w:hAnsi="Times New Roman"/>
          <w:color w:val="000000"/>
          <w:sz w:val="20"/>
        </w:rPr>
        <w:t xml:space="preserve"> </w:t>
      </w:r>
      <w:r>
        <w:rPr>
          <w:rFonts w:ascii="Times New Roman" w:hAnsi="Times New Roman"/>
          <w:color w:val="000000"/>
          <w:sz w:val="24"/>
        </w:rPr>
        <w:t>(A) Certified copies of the Organizational Documents (as amended or restated to the satisfaction of the Administrative Agent, if required by the Administrative Agent in connection with the Liens created pursuant to the Security Documents) of each 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(B) a good standing certificate and/or compliance certificate from the applicable Governmental Authority of each Obligor’s jurisdiction of incorporation and in each jurisdiction in which it is qualified as a foreign corporation or other entity to do business, each dated a recent date prior to the Closing Date; and (C) such other documents as the Administrative Agent may reasonably request.</w:t>
      </w:r>
    </w:p>
    <w:p>
      <w:pPr>
        <w:pStyle w:val="TextBody"/>
        <w:bidi w:val="0"/>
        <w:spacing w:before="320" w:after="283"/>
        <w:jc w:val="both"/>
        <w:rPr>
          <w:rFonts w:ascii="Times New Roman" w:hAnsi="Times New Roman"/>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i/>
          <w:color w:val="000000"/>
          <w:sz w:val="24"/>
        </w:rPr>
        <w:t>Incumbency Certificate.</w:t>
      </w:r>
      <w:r>
        <w:rPr>
          <w:rFonts w:ascii="Times New Roman" w:hAnsi="Times New Roman"/>
          <w:color w:val="000000"/>
          <w:sz w:val="20"/>
        </w:rPr>
        <w:t xml:space="preserve"> </w:t>
      </w:r>
      <w:r>
        <w:rPr>
          <w:rFonts w:ascii="Times New Roman" w:hAnsi="Times New Roman"/>
          <w:color w:val="000000"/>
          <w:sz w:val="24"/>
        </w:rPr>
        <w:t>A certificate of each Obligor as to the authority, incumbency and specimen signatures of the persons who have executed the Loan Documents and any other documents in connection herewith on behalf of the Obligors.</w:t>
      </w:r>
    </w:p>
    <w:p>
      <w:pPr>
        <w:pStyle w:val="TextBody"/>
        <w:bidi w:val="0"/>
        <w:spacing w:before="280" w:after="283"/>
        <w:jc w:val="both"/>
        <w:rPr>
          <w:rFonts w:ascii="Times New Roman" w:hAnsi="Times New Roman"/>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i/>
          <w:color w:val="000000"/>
          <w:sz w:val="24"/>
        </w:rPr>
        <w:t>Officer’s Certificate.</w:t>
      </w:r>
      <w:r>
        <w:rPr>
          <w:rFonts w:ascii="Times New Roman" w:hAnsi="Times New Roman"/>
          <w:color w:val="000000"/>
          <w:sz w:val="20"/>
        </w:rPr>
        <w:t xml:space="preserve"> </w:t>
      </w:r>
      <w:r>
        <w:rPr>
          <w:rFonts w:ascii="Times New Roman" w:hAnsi="Times New Roman"/>
          <w:color w:val="000000"/>
          <w:sz w:val="24"/>
        </w:rPr>
        <w:t>A certificate, in form and substance satisfactory to the Administrative Agent, dated as of the Closing Date and signed by a Responsible Officer of each Obligor, confirming compliance with the conditions set forth in this Section 6.01.</w:t>
      </w:r>
    </w:p>
    <w:p>
      <w:pPr>
        <w:pStyle w:val="TextBody"/>
        <w:bidi w:val="0"/>
        <w:spacing w:before="280" w:after="283"/>
        <w:jc w:val="both"/>
        <w:rPr>
          <w:rFonts w:ascii="Times New Roman" w:hAnsi="Times New Roman"/>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i/>
          <w:color w:val="000000"/>
          <w:sz w:val="24"/>
        </w:rPr>
        <w:t>Opinion of Counsel.</w:t>
      </w:r>
      <w:r>
        <w:rPr>
          <w:rFonts w:ascii="Times New Roman" w:hAnsi="Times New Roman"/>
          <w:color w:val="000000"/>
          <w:sz w:val="20"/>
        </w:rPr>
        <w:t xml:space="preserve"> </w:t>
      </w:r>
      <w:r>
        <w:rPr>
          <w:rFonts w:ascii="Times New Roman" w:hAnsi="Times New Roman"/>
          <w:color w:val="000000"/>
          <w:sz w:val="24"/>
        </w:rPr>
        <w:t>A customary opinion, dated as of the Closing Date, of K&amp;L Gates LLP, counsel to each Obligor in form reasonably acceptable to the Administrative Agent and its counsel.</w:t>
      </w:r>
    </w:p>
    <w:p>
      <w:pPr>
        <w:pStyle w:val="TextBody"/>
        <w:bidi w:val="0"/>
        <w:spacing w:before="280" w:after="283"/>
        <w:jc w:val="both"/>
        <w:rPr>
          <w:rFonts w:ascii="Times New Roman" w:hAnsi="Times New Roman"/>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i/>
          <w:color w:val="000000"/>
          <w:sz w:val="24"/>
        </w:rPr>
        <w:t>Evidence of Insurance.</w:t>
      </w:r>
      <w:r>
        <w:rPr>
          <w:rFonts w:ascii="Times New Roman" w:hAnsi="Times New Roman"/>
          <w:color w:val="000000"/>
          <w:sz w:val="20"/>
        </w:rPr>
        <w:t xml:space="preserve"> </w:t>
      </w:r>
      <w:r>
        <w:rPr>
          <w:rFonts w:ascii="Times New Roman" w:hAnsi="Times New Roman"/>
          <w:color w:val="000000"/>
          <w:sz w:val="24"/>
        </w:rPr>
        <w:t>Certificates from each Obligor’s insurance broker or other evidence satisfactory to the Administrative Agent that all insurance required to be maintained pursuant to Section 8.05 is in full force and effect, together with</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endorsements naming the Administrative Agent as additional insured and lender’s loss payee, as applicable, under such Obligor’s liability and casualty insurance policies.</w:t>
      </w:r>
    </w:p>
    <w:p>
      <w:pPr>
        <w:pStyle w:val="TextBody"/>
        <w:bidi w:val="0"/>
        <w:spacing w:before="280" w:after="283"/>
        <w:jc w:val="both"/>
        <w:rPr>
          <w:rFonts w:ascii="Times New Roman" w:hAnsi="Times New Roman"/>
          <w:sz w:val="20"/>
        </w:rPr>
      </w:pPr>
      <w:r>
        <w:rPr>
          <w:rFonts w:ascii="Times New Roman" w:hAnsi="Times New Roman"/>
          <w:color w:val="000000"/>
          <w:sz w:val="24"/>
        </w:rPr>
        <w:t>(xi)</w:t>
      </w:r>
      <w:r>
        <w:rPr>
          <w:rFonts w:ascii="Times New Roman" w:hAnsi="Times New Roman"/>
          <w:color w:val="000000"/>
          <w:sz w:val="20"/>
        </w:rPr>
        <w:t xml:space="preserve"> </w:t>
      </w:r>
      <w:r>
        <w:rPr>
          <w:rFonts w:ascii="Times New Roman" w:hAnsi="Times New Roman"/>
          <w:i/>
          <w:color w:val="000000"/>
          <w:sz w:val="24"/>
        </w:rPr>
        <w:t>Borrowing Notice.</w:t>
      </w:r>
      <w:r>
        <w:rPr>
          <w:rFonts w:ascii="Times New Roman" w:hAnsi="Times New Roman"/>
          <w:color w:val="000000"/>
          <w:sz w:val="20"/>
        </w:rPr>
        <w:t xml:space="preserve"> </w:t>
      </w:r>
      <w:r>
        <w:rPr>
          <w:rFonts w:ascii="Times New Roman" w:hAnsi="Times New Roman"/>
          <w:color w:val="000000"/>
          <w:sz w:val="24"/>
        </w:rPr>
        <w:t>The Administrative Agent shall have received a Borrowing Notice in accordance with Section 2.01(a)(ii) duly executed and delivered by a Responsible Officer of the Borrower, in form and substance satisfactory to the Administrative Agent.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Due Diligence.</w:t>
      </w:r>
      <w:r>
        <w:rPr>
          <w:rFonts w:ascii="Times New Roman" w:hAnsi="Times New Roman"/>
          <w:color w:val="000000"/>
          <w:sz w:val="20"/>
        </w:rPr>
        <w:t xml:space="preserve"> </w:t>
      </w:r>
      <w:r>
        <w:rPr>
          <w:rFonts w:ascii="Times New Roman" w:hAnsi="Times New Roman"/>
          <w:color w:val="000000"/>
          <w:sz w:val="24"/>
        </w:rPr>
        <w:t>The Administrative Agent shall have received and be satisfied with all due diligence regarding the Obligors (including without limitation historical financial statements, Projections, technical, operational, legal, Intellectual Property, commercial market forecasts, clinical and quality assessments, supply chain, securities, labor, Tax, litigation, environmental, reimbursement and regulatory authority matters) in its sole discretion.</w:t>
      </w:r>
    </w:p>
    <w:p>
      <w:pPr>
        <w:pStyle w:val="TextBody"/>
        <w:bidi w:val="0"/>
        <w:spacing w:before="28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Indebtedness.</w:t>
      </w:r>
      <w:r>
        <w:rPr>
          <w:rFonts w:ascii="Times New Roman" w:hAnsi="Times New Roman"/>
          <w:color w:val="000000"/>
          <w:sz w:val="20"/>
        </w:rPr>
        <w:t xml:space="preserve"> </w:t>
      </w:r>
      <w:r>
        <w:rPr>
          <w:rFonts w:ascii="Times New Roman" w:hAnsi="Times New Roman"/>
          <w:color w:val="000000"/>
          <w:sz w:val="24"/>
        </w:rPr>
        <w:t>As of the Closing Date, after giving effect to the Transactions, no Obligor shall have any Indebtedness other than the Obligations and any Indebtedness specified on Schedule 9.01(b). All commitments and obligations in respect of the Existing Credit Documents shall be terminated, all guarantees (if any) thereof discharged and released and all security therefor (if any) released, together with all fees and other amounts owing thereon, or documentation in form and substance satisfactory to the Administrative Agent to effect such release upon such repayment and termination shall have been delivered to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Closing Fees, Expenses, Etc.</w:t>
      </w:r>
      <w:r>
        <w:rPr>
          <w:rFonts w:ascii="Times New Roman" w:hAnsi="Times New Roman"/>
          <w:color w:val="000000"/>
          <w:sz w:val="20"/>
        </w:rPr>
        <w:t xml:space="preserve"> </w:t>
      </w:r>
      <w:r>
        <w:rPr>
          <w:rFonts w:ascii="Times New Roman" w:hAnsi="Times New Roman"/>
          <w:color w:val="000000"/>
          <w:sz w:val="24"/>
        </w:rPr>
        <w:t>The Lenders and their Affiliates shall have received for their own account, the Closing Fee and all fees, costs and expenses due (including applicable attorney costs and the reasonable and documented out</w:t>
        <w:noBreakHyphen/>
        <w:t>of</w:t>
        <w:noBreakHyphen/>
        <w:t>pocket fees and expenses of any other advisors to the Lenders) and payable pursuant to Section 13.03, after deducting therefrom the Expense Deposit (which Closing Fee and other fees, costs and expenses may be paid out of the proceeds of the Tranche A Term Loan advanced by the Lenders on the Closing Date).</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Representations and Warranties</w:t>
      </w:r>
      <w:r>
        <w:rPr>
          <w:rFonts w:ascii="Times New Roman" w:hAnsi="Times New Roman"/>
          <w:color w:val="000000"/>
          <w:sz w:val="24"/>
        </w:rPr>
        <w:t xml:space="preserve">. The representations and warranties of the Obligors contained in Article 7 or any other Loan Document shall be true and correct in all material respects on and as of the Closing Date;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283"/>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No Material Adverse Change</w:t>
      </w:r>
      <w:r>
        <w:rPr>
          <w:rFonts w:ascii="Times New Roman" w:hAnsi="Times New Roman"/>
          <w:color w:val="000000"/>
          <w:sz w:val="24"/>
        </w:rPr>
        <w:t>. No Material Adverse Change shall have occurred since December 31, 2025.</w:t>
      </w:r>
    </w:p>
    <w:p>
      <w:pPr>
        <w:pStyle w:val="TextBody"/>
        <w:bidi w:val="0"/>
        <w:spacing w:before="280" w:after="283"/>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No Default</w:t>
      </w:r>
      <w:r>
        <w:rPr>
          <w:rFonts w:ascii="Times New Roman" w:hAnsi="Times New Roman"/>
          <w:color w:val="000000"/>
          <w:sz w:val="24"/>
        </w:rPr>
        <w:t>. No Default or Event of Default shall exist, or would result from such proposed Borrowing or from the application of the proceeds therefrom.</w:t>
      </w:r>
    </w:p>
    <w:p>
      <w:pPr>
        <w:pStyle w:val="TextBody"/>
        <w:bidi w:val="0"/>
        <w:spacing w:before="280" w:after="283"/>
        <w:jc w:val="both"/>
        <w:rPr>
          <w:rFonts w:ascii="Times New Roman" w:hAnsi="Times New Roman"/>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i/>
          <w:color w:val="000000"/>
          <w:sz w:val="24"/>
        </w:rPr>
        <w:t>Miscellaneous</w:t>
      </w:r>
      <w:r>
        <w:rPr>
          <w:rFonts w:ascii="Times New Roman" w:hAnsi="Times New Roman"/>
          <w:color w:val="000000"/>
          <w:sz w:val="24"/>
        </w:rPr>
        <w:t>. The Administrative Agent and each Lender shall have received such other opinions, instruments, certificates and documents as the Administrative Agent or such Lender shall have reasonably requested with prior notice to the Borrower.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6.02.</w:t>
      </w:r>
      <w:r>
        <w:rPr>
          <w:rFonts w:ascii="Times New Roman" w:hAnsi="Times New Roman"/>
          <w:color w:val="000000"/>
          <w:sz w:val="20"/>
        </w:rPr>
        <w:t xml:space="preserve"> </w:t>
      </w:r>
      <w:r>
        <w:rPr>
          <w:rFonts w:ascii="Times New Roman" w:hAnsi="Times New Roman"/>
          <w:i/>
          <w:color w:val="000000"/>
          <w:sz w:val="24"/>
        </w:rPr>
        <w:t>Conditions to Tranche B Term Loan; Tranche B Term Loan Borrowing Date.</w:t>
      </w:r>
      <w:r>
        <w:rPr>
          <w:rFonts w:ascii="Times New Roman" w:hAnsi="Times New Roman"/>
          <w:color w:val="000000"/>
          <w:sz w:val="20"/>
        </w:rPr>
        <w:t xml:space="preserve"> </w:t>
      </w:r>
      <w:r>
        <w:rPr>
          <w:rFonts w:ascii="Times New Roman" w:hAnsi="Times New Roman"/>
          <w:color w:val="000000"/>
          <w:sz w:val="24"/>
        </w:rPr>
        <w:t>The obligation of each Lender to make the Tranche B Term Loan on the Tranche B Term Loan Borrowing Date shall not become effective until the following conditions precedent shall have been satisfied or waived in writing by the Administrative Agent (which satisfaction or waiver may be made simultaneously with the making of the Tranche B Term Loan hereunder):</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Tranche B Term Loan Commitment Termination Date</w:t>
      </w:r>
      <w:r>
        <w:rPr>
          <w:rFonts w:ascii="Times New Roman" w:hAnsi="Times New Roman"/>
          <w:color w:val="000000"/>
          <w:sz w:val="24"/>
        </w:rPr>
        <w:t>. The Tranche B Term Loan Commitment Termination Date shall not have occurred.</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Borrowing Notice.</w:t>
      </w:r>
      <w:r>
        <w:rPr>
          <w:rFonts w:ascii="Times New Roman" w:hAnsi="Times New Roman"/>
          <w:color w:val="000000"/>
          <w:sz w:val="20"/>
        </w:rPr>
        <w:t xml:space="preserve"> </w:t>
      </w:r>
      <w:r>
        <w:rPr>
          <w:rFonts w:ascii="Times New Roman" w:hAnsi="Times New Roman"/>
          <w:color w:val="000000"/>
          <w:sz w:val="24"/>
        </w:rPr>
        <w:t>The Administrative Agent shall have received a Borrowing Notice in accordance with Section 2.01(b)(ii) requesting the Borrowing of the Tranche B Term Loan duly executed by a Responsible Officer of the Borrower and the Borrower’s updated Schedules to this Agreement (if any), in form and substance satisfactory to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Representations and Warranties</w:t>
      </w:r>
      <w:r>
        <w:rPr>
          <w:rFonts w:ascii="Times New Roman" w:hAnsi="Times New Roman"/>
          <w:color w:val="000000"/>
          <w:sz w:val="24"/>
        </w:rPr>
        <w:t xml:space="preserve">. The representations and warranties of the Obligors contained in Article 7 or any other Loan Document shall be true and correct in all material respects on and as of the Tranche B Term Loan Borrowing Date;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No Default</w:t>
      </w:r>
      <w:r>
        <w:rPr>
          <w:rFonts w:ascii="Times New Roman" w:hAnsi="Times New Roman"/>
          <w:color w:val="000000"/>
          <w:sz w:val="24"/>
        </w:rPr>
        <w:t>. No Default or Event of Default shall exist, or would result from such proposed Borrowing or from the application of the proceeds therefrom.</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Officer’s Certificate.</w:t>
      </w:r>
      <w:r>
        <w:rPr>
          <w:rFonts w:ascii="Times New Roman" w:hAnsi="Times New Roman"/>
          <w:color w:val="000000"/>
          <w:sz w:val="20"/>
        </w:rPr>
        <w:t xml:space="preserve"> </w:t>
      </w:r>
      <w:r>
        <w:rPr>
          <w:rFonts w:ascii="Times New Roman" w:hAnsi="Times New Roman"/>
          <w:color w:val="000000"/>
          <w:sz w:val="24"/>
        </w:rPr>
        <w:t>A certificate, dated as of the Tranche B Term Loan Borrowing Date and signed by a Responsible Officer of the Borrower, confirming compliance with the conditions set forth in this Section 6.02.</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Milestone.</w:t>
      </w:r>
      <w:r>
        <w:rPr>
          <w:rFonts w:ascii="Times New Roman" w:hAnsi="Times New Roman"/>
          <w:color w:val="000000"/>
          <w:sz w:val="20"/>
        </w:rPr>
        <w:t xml:space="preserve"> </w:t>
      </w:r>
      <w:r>
        <w:rPr>
          <w:rFonts w:ascii="Times New Roman" w:hAnsi="Times New Roman"/>
          <w:color w:val="000000"/>
          <w:sz w:val="24"/>
        </w:rPr>
        <w:t>The Administrative Agent shall have received evidence satisfactory to the Administrative Agent that the Borrower has achieved Net Revenue of at least $85,000,000 for any twelve (12) consecutive month period prior to the Tranche B Term Loan Borrowing Date.</w:t>
      </w:r>
    </w:p>
    <w:p>
      <w:pPr>
        <w:pStyle w:val="TextBody"/>
        <w:bidi w:val="0"/>
        <w:spacing w:before="28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Expenses, Etc.</w:t>
      </w:r>
      <w:r>
        <w:rPr>
          <w:rFonts w:ascii="Times New Roman" w:hAnsi="Times New Roman"/>
          <w:color w:val="000000"/>
          <w:sz w:val="20"/>
        </w:rPr>
        <w:t xml:space="preserve"> </w:t>
      </w:r>
      <w:r>
        <w:rPr>
          <w:rFonts w:ascii="Times New Roman" w:hAnsi="Times New Roman"/>
          <w:color w:val="000000"/>
          <w:sz w:val="24"/>
        </w:rPr>
        <w:t>The Lenders and their Affiliates shall have received for their own account, all fees, costs and expenses due (including applicable attorney costs and the reasonable and documented out-of-pocket fees and expenses of any other advisors to the Lenders) and payable pursuant to Section 13.03.</w:t>
      </w:r>
    </w:p>
    <w:p>
      <w:pPr>
        <w:pStyle w:val="TextBody"/>
        <w:bidi w:val="0"/>
        <w:spacing w:before="28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 xml:space="preserve">Miscellaneous. </w:t>
      </w:r>
      <w:r>
        <w:rPr>
          <w:rFonts w:ascii="Times New Roman" w:hAnsi="Times New Roman"/>
          <w:color w:val="000000"/>
          <w:sz w:val="24"/>
        </w:rPr>
        <w:t>The Administrative Agent and each Lender shall have received such other opinions, instruments, certificates and documents as the Administrative Agent or such Lender shall have reasonably requested with prior notice to the Borrower.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borrowing of the Term Loans shall constitute a certification by the Borrower to the effect that the conditions set forth in Sections 6.01 and 6.02, as applicable, have been fulfilled as of the Closing Date or the Tranche B Term Loan Borrowing Date, as applicable.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7 </w:t>
        <w:br/>
        <w:br/>
        <w:t>Representations and Warranties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order to induce the Lenders to enter into this Agreement and to extend the Term Loans hereunder, each Obligor represents and warrants to the Lenders and the Administrative Agent, on the Closing Date and on the Tranche B Term Loan Borrowing Date, as applicable, that the following statements are true and correct: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7.01.</w:t>
      </w:r>
      <w:r>
        <w:rPr>
          <w:rFonts w:ascii="Times New Roman" w:hAnsi="Times New Roman"/>
          <w:color w:val="000000"/>
          <w:sz w:val="20"/>
        </w:rPr>
        <w:t xml:space="preserve"> </w:t>
      </w:r>
      <w:r>
        <w:rPr>
          <w:rFonts w:ascii="Times New Roman" w:hAnsi="Times New Roman"/>
          <w:i/>
          <w:color w:val="000000"/>
          <w:sz w:val="24"/>
        </w:rPr>
        <w:t>Power and Authority.</w:t>
      </w:r>
      <w:r>
        <w:rPr>
          <w:rFonts w:ascii="Times New Roman" w:hAnsi="Times New Roman"/>
          <w:color w:val="000000"/>
          <w:sz w:val="20"/>
        </w:rPr>
        <w:t xml:space="preserve"> </w:t>
      </w:r>
      <w:r>
        <w:rPr>
          <w:rFonts w:ascii="Times New Roman" w:hAnsi="Times New Roman"/>
          <w:color w:val="000000"/>
          <w:sz w:val="24"/>
        </w:rPr>
        <w:t>Each Obligor and each of its Subsidiaries (a) is duly organized, validly existing and in good standing under the Laws of its jurisdiction of organization, (b) has all requisite corporate (or equivalent) power, and has all material Governmental Approvals necessary to own its assets and carry on its business as now being or as proposed to be conducted except to the extent that failure to have the same would not reasonably be expected to have a Material Adverse Effect, (c) is qualified to do business and is in good standing in all jurisdictions in which the nature of the business conducted by it makes such qualification necessary except where failure to so qualify would not (either individually or in the aggregate) reasonably be expected to have a Material Adverse Effect, and (d) has full power, authority and legal right to make and perform each of the Loan Documents and, in the case of the Borrower, to borrow the Term Loans hereunder.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7.02.</w:t>
      </w:r>
      <w:r>
        <w:rPr>
          <w:rFonts w:ascii="Times New Roman" w:hAnsi="Times New Roman"/>
          <w:color w:val="000000"/>
          <w:sz w:val="20"/>
        </w:rPr>
        <w:t xml:space="preserve"> </w:t>
      </w:r>
      <w:r>
        <w:rPr>
          <w:rFonts w:ascii="Times New Roman" w:hAnsi="Times New Roman"/>
          <w:i/>
          <w:color w:val="000000"/>
          <w:sz w:val="24"/>
        </w:rPr>
        <w:t>Authorization; Enforceability.</w:t>
      </w:r>
      <w:r>
        <w:rPr>
          <w:rFonts w:ascii="Times New Roman" w:hAnsi="Times New Roman"/>
          <w:color w:val="000000"/>
          <w:sz w:val="20"/>
        </w:rPr>
        <w:t xml:space="preserve"> </w:t>
      </w:r>
      <w:r>
        <w:rPr>
          <w:rFonts w:ascii="Times New Roman" w:hAnsi="Times New Roman"/>
          <w:color w:val="000000"/>
          <w:sz w:val="24"/>
        </w:rPr>
        <w:t>The Transactions are within each Obligor’s corporate (or equivalent) powers 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7.03.</w:t>
      </w:r>
      <w:r>
        <w:rPr>
          <w:rFonts w:ascii="Times New Roman" w:hAnsi="Times New Roman"/>
          <w:color w:val="000000"/>
          <w:sz w:val="20"/>
        </w:rPr>
        <w:t xml:space="preserve"> </w:t>
      </w:r>
      <w:r>
        <w:rPr>
          <w:rFonts w:ascii="Times New Roman" w:hAnsi="Times New Roman"/>
          <w:i/>
          <w:color w:val="000000"/>
          <w:sz w:val="24"/>
        </w:rPr>
        <w:t>Governmental and Other Approvals; No Conflicts.</w:t>
      </w:r>
      <w:r>
        <w:rPr>
          <w:rFonts w:ascii="Times New Roman" w:hAnsi="Times New Roman"/>
          <w:color w:val="000000"/>
          <w:sz w:val="20"/>
        </w:rPr>
        <w:t xml:space="preserve"> </w:t>
      </w:r>
      <w:r>
        <w:rPr>
          <w:rFonts w:ascii="Times New Roman" w:hAnsi="Times New Roman"/>
          <w:color w:val="000000"/>
          <w:sz w:val="24"/>
        </w:rPr>
        <w:t>The Transactions (a) do not require any consent or approval of, registration or filing with, or any other action by, any Governmental Authority or any other Person, except for (i) such as have been obtained or made and are in full force and effect and (ii) filings and recordings in respect of perfecting or recording the Liens created pursuant to the Security Documents, (b) will not violate any applicable Requirement of Law or any applicable order of any Governmental Authority, in each case, other than any such violations that, individually or in the aggregate, would not reasonably be expected to have a Material Adverse Effect, (c) will not violate any applicable Organizational Documents of any Obligor, (d) will not violate or result in a default under any Material Agreement, or give rise to a right thereunder to require any payment to be made by any such Person, and (e) will not result in the creation or imposition of any Lien (other than Permitted Liens) on any asset of any Obligor or any of its Subsidiaries.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7.04.</w:t>
      </w:r>
      <w:r>
        <w:rPr>
          <w:rFonts w:ascii="Times New Roman" w:hAnsi="Times New Roman"/>
          <w:color w:val="000000"/>
          <w:sz w:val="20"/>
        </w:rPr>
        <w:t xml:space="preserve"> </w:t>
      </w:r>
      <w:r>
        <w:rPr>
          <w:rFonts w:ascii="Times New Roman" w:hAnsi="Times New Roman"/>
          <w:i/>
          <w:color w:val="000000"/>
          <w:sz w:val="24"/>
        </w:rPr>
        <w:t>Financial Statements; Projections; Material Adverse Change</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 xml:space="preserve">Financial Statements. </w:t>
      </w:r>
      <w:r>
        <w:rPr>
          <w:rFonts w:ascii="Times New Roman" w:hAnsi="Times New Roman"/>
          <w:color w:val="000000"/>
          <w:sz w:val="24"/>
        </w:rPr>
        <w:t>The Obligors have heretofore furnished to the Administrative Agent certain financial statements as provided for in Section 8.01. Such financial statements present fairly, in all material respects, the financial position and results of operations and cash flows of the Obligors as of such dates and for such periods substantially in accordance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 GAAP, subject to quarterly or year</w:t>
        <w:noBreakHyphen/>
        <w:t>end adjustments and the absence of footnotes. No Obligor has any material contingent liabilities or liabilities for taxes, long</w:t>
        <w:noBreakHyphen/>
        <w:t>term lease or unusual forward or long</w:t>
        <w:noBreakHyphen/>
        <w:t>term commitments not disclosed in the aforementioned financial statements.</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Projections.</w:t>
      </w:r>
      <w:r>
        <w:rPr>
          <w:rFonts w:ascii="Times New Roman" w:hAnsi="Times New Roman"/>
          <w:color w:val="000000"/>
          <w:sz w:val="20"/>
        </w:rPr>
        <w:t xml:space="preserve"> </w:t>
      </w:r>
      <w:r>
        <w:rPr>
          <w:rFonts w:ascii="Times New Roman" w:hAnsi="Times New Roman"/>
          <w:color w:val="000000"/>
          <w:sz w:val="24"/>
        </w:rPr>
        <w:t xml:space="preserve">On and as of the Closing Date, the projections of the Obligors (collectively, the </w:t>
      </w:r>
      <w:r>
        <w:rPr>
          <w:rFonts w:ascii="Times New Roman" w:hAnsi="Times New Roman"/>
          <w:color w:val="000000"/>
          <w:sz w:val="20"/>
        </w:rPr>
        <w:t>“</w:t>
      </w:r>
      <w:r>
        <w:rPr>
          <w:rFonts w:ascii="Times New Roman" w:hAnsi="Times New Roman"/>
          <w:i/>
          <w:color w:val="000000"/>
          <w:sz w:val="24"/>
        </w:rPr>
        <w:t>Projections”</w:t>
      </w:r>
      <w:r>
        <w:rPr>
          <w:rFonts w:ascii="Times New Roman" w:hAnsi="Times New Roman"/>
          <w:color w:val="000000"/>
          <w:sz w:val="24"/>
        </w:rPr>
        <w:t xml:space="preserve">) are based on good faith estimates and assumptions made by the management of the Obligors; </w:t>
      </w:r>
      <w:r>
        <w:rPr>
          <w:rFonts w:ascii="Times New Roman" w:hAnsi="Times New Roman"/>
          <w:i/>
          <w:color w:val="000000"/>
          <w:sz w:val="24"/>
        </w:rPr>
        <w:t>provided,</w:t>
      </w:r>
      <w:r>
        <w:rPr>
          <w:rFonts w:ascii="Times New Roman" w:hAnsi="Times New Roman"/>
          <w:color w:val="000000"/>
          <w:sz w:val="24"/>
        </w:rPr>
        <w:t xml:space="preserve">the Projections are not to be viewed as facts and that actual results during the period or periods covered by the Projections may differ from such Projections and that the differences may be material;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as of the Closing Date, the management of the Obligors believe that the Projections are reasonable and attainable.</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No Material Adverse Change.</w:t>
      </w:r>
      <w:r>
        <w:rPr>
          <w:rFonts w:ascii="Times New Roman" w:hAnsi="Times New Roman"/>
          <w:color w:val="000000"/>
          <w:sz w:val="20"/>
        </w:rPr>
        <w:t xml:space="preserve"> </w:t>
      </w:r>
      <w:r>
        <w:rPr>
          <w:rFonts w:ascii="Times New Roman" w:hAnsi="Times New Roman"/>
          <w:color w:val="000000"/>
          <w:sz w:val="24"/>
        </w:rPr>
        <w:t>Since December 31, 2025, no event, circumstance or change has occurred that has caused or evidences, either individually or in the aggregate, a Material Adverse Change.</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7.05.</w:t>
      </w:r>
      <w:r>
        <w:rPr>
          <w:rFonts w:ascii="Times New Roman" w:hAnsi="Times New Roman"/>
          <w:color w:val="000000"/>
          <w:sz w:val="20"/>
        </w:rPr>
        <w:t xml:space="preserve"> </w:t>
      </w:r>
      <w:r>
        <w:rPr>
          <w:rFonts w:ascii="Times New Roman" w:hAnsi="Times New Roman"/>
          <w:i/>
          <w:color w:val="000000"/>
          <w:sz w:val="24"/>
        </w:rPr>
        <w:t>Properties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Property Generally.</w:t>
      </w:r>
      <w:r>
        <w:rPr>
          <w:rFonts w:ascii="Times New Roman" w:hAnsi="Times New Roman"/>
          <w:color w:val="000000"/>
          <w:sz w:val="20"/>
        </w:rPr>
        <w:t xml:space="preserve"> </w:t>
      </w:r>
      <w:r>
        <w:rPr>
          <w:rFonts w:ascii="Times New Roman" w:hAnsi="Times New Roman"/>
          <w:color w:val="000000"/>
          <w:sz w:val="24"/>
        </w:rPr>
        <w:t>Each Obligor and each of its Subsidiaries has good and marketable fee simple title to, or valid leasehold or license interests in, all its real and personal Property material to its business, including all Product Assets, subject only to Permitted Liens and except as would not reasonably be expected to interfere with its ability to conduct its business as currently conducted or to utilize such properties for their intended purposes.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Intellectual Property.</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Schedule 7.05(b) lists, with respect to each Obligor, all United States and foreign registrations of and applications for Patents, Trademarks, Copyrights, and Industrial Designs that are Obligor Intellectual Property, including the applicable jurisdiction, registration or application number and date, as applicable thereto,</w:t>
      </w:r>
      <w:r>
        <w:rPr>
          <w:rFonts w:ascii="Times New Roman" w:hAnsi="Times New Roman"/>
          <w:color w:val="000000"/>
          <w:sz w:val="20"/>
        </w:rPr>
        <w:t xml:space="preserve"> </w:t>
      </w:r>
      <w:r>
        <w:rPr>
          <w:rFonts w:ascii="Times New Roman" w:hAnsi="Times New Roman"/>
          <w:color w:val="000000"/>
          <w:sz w:val="24"/>
        </w:rPr>
        <w:t>and a designation as to whether it is licensed or owned by an Obligor and whether such Obligor Intellectual Property is Material Intellectual Property.</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Each Obligor (A) owns or possesses all legal and beneficial rights, title and interest in and to the Material Intellectual Property and (B) has the right to use the Material Intellectual Property licensed to such Obligor, in each case with good and marketable title, free and clear of any Liens or Claims of any kind, other than Permitted Liens.</w:t>
      </w:r>
    </w:p>
    <w:p>
      <w:pPr>
        <w:pStyle w:val="TextBody"/>
        <w:bidi w:val="0"/>
        <w:spacing w:before="28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To each Obligor’s knowledge, the Material Intellectual Property does not violate any license or infringe any valid and enforceable Intellectual Property right of another Person.</w:t>
      </w:r>
    </w:p>
    <w:p>
      <w:pPr>
        <w:pStyle w:val="TextBody"/>
        <w:bidi w:val="0"/>
        <w:spacing w:before="28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Other than with respect to the Material Agreements, or as permitted by this Agreement, the Obligors have not assigned or otherwise transferred ownership of, or agreed to assign or otherwise transfer ownership of, any Obligor Intellectual Property, in whole or in part, to any Person who is not an Obligor.</w:t>
      </w:r>
    </w:p>
    <w:p>
      <w:pPr>
        <w:pStyle w:val="TextBody"/>
        <w:bidi w:val="0"/>
        <w:spacing w:before="28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Other than as set forth on Schedule 7.05(b), the Obligors have not received any written communications, nor is there any pending or, to each Obligor’s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knowledge, threatened action in writing, suit, proceeding or Claim in writing by another, alleging that any of the Obligors has violated, infringed, diluted or misappropriated any Intellectual Property of another.</w:t>
      </w:r>
    </w:p>
    <w:p>
      <w:pPr>
        <w:pStyle w:val="TextBody"/>
        <w:bidi w:val="0"/>
        <w:spacing w:before="28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There is no pending or, to any Obligor’s knowledge, threatened action in writing, suit, proceeding or Claim in writing by another: (A) challenging an Obligor’s rights in or to any Obligor Intellectual Property; or (B) challenging the validity, enforceability or scope of any Obligor Intellectual Property, except with respect to Material Intellectual Property, such action in writing, suit, proceeding or Claim in writing by another could not be reasonably expected to result in a Material Adverse Effect.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Each Obligor has taken commercially reasonable precautions to protect the secrecy, confidentiality and value of the Material Intellectual Property (including without limitation, by requiring that all relevant current and former employees, contractors, and consultants of the Obligors execute written confidentiality and Invention assignment Contracts).</w:t>
      </w:r>
    </w:p>
    <w:p>
      <w:pPr>
        <w:pStyle w:val="TextBody"/>
        <w:bidi w:val="0"/>
        <w:spacing w:before="280" w:after="283"/>
        <w:jc w:val="both"/>
        <w:rPr>
          <w:rFonts w:ascii="Times New Roman" w:hAnsi="Times New Roman"/>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Each Obligor has complied with the terms of each Material Agreement pursuant to which Intellectual Property has been licensed to the Obligors (which material terms shall include, but not be limited to, pricing and duration of the agreement).</w:t>
      </w:r>
    </w:p>
    <w:p>
      <w:pPr>
        <w:pStyle w:val="TextBody"/>
        <w:bidi w:val="0"/>
        <w:spacing w:before="280" w:after="283"/>
        <w:jc w:val="both"/>
        <w:rPr>
          <w:rFonts w:ascii="Times New Roman" w:hAnsi="Times New Roman"/>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rPr>
        <w:t>All maintenance fees, annuities, and the like due or payable on the Patents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have been validly executed, delivered and filed in a timely manner with the United States Patent and Trademark Office or the United States Copyright Office, as applicable.</w:t>
      </w:r>
    </w:p>
    <w:p>
      <w:pPr>
        <w:pStyle w:val="TextBody"/>
        <w:bidi w:val="0"/>
        <w:spacing w:before="280" w:after="283"/>
        <w:jc w:val="both"/>
        <w:rPr>
          <w:rFonts w:ascii="Times New Roman" w:hAnsi="Times New Roman"/>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To each Obligor’s knowledge, (A) there are no material defects in any of the Patents and (B) no such Patents have ever been finally adjudicated to be invalid, unpatentable or unenforceable for any reason in any administrative, arbitration, judicial or other proceeding.</w:t>
      </w:r>
    </w:p>
    <w:p>
      <w:pPr>
        <w:pStyle w:val="TextBody"/>
        <w:bidi w:val="0"/>
        <w:spacing w:before="280" w:after="283"/>
        <w:jc w:val="both"/>
        <w:rPr>
          <w:rFonts w:ascii="Times New Roman" w:hAnsi="Times New Roman"/>
          <w:sz w:val="20"/>
        </w:rPr>
      </w:pPr>
      <w:r>
        <w:rPr>
          <w:rFonts w:ascii="Times New Roman" w:hAnsi="Times New Roman"/>
          <w:color w:val="000000"/>
          <w:sz w:val="24"/>
        </w:rPr>
        <w:t>(xi)</w:t>
      </w:r>
      <w:r>
        <w:rPr>
          <w:rFonts w:ascii="Times New Roman" w:hAnsi="Times New Roman"/>
          <w:color w:val="000000"/>
          <w:sz w:val="20"/>
        </w:rPr>
        <w:t xml:space="preserve"> </w:t>
      </w:r>
      <w:r>
        <w:rPr>
          <w:rFonts w:ascii="Times New Roman" w:hAnsi="Times New Roman"/>
          <w:color w:val="000000"/>
          <w:sz w:val="24"/>
        </w:rPr>
        <w:t>To each Obligor’s knowledge, no Obligor has received any written notice asserting that the Patents are invalid, unpatentable or unenforceable and, to each Obligor’s knowledge, no Obligor has engaged in any conduct, or omitted to perform any necessary act, the result of which would invalidate or render unpatentable or unenforceable any such Patent.</w:t>
      </w:r>
    </w:p>
    <w:p>
      <w:pPr>
        <w:pStyle w:val="TextBody"/>
        <w:bidi w:val="0"/>
        <w:spacing w:before="280" w:after="283"/>
        <w:jc w:val="both"/>
        <w:rPr>
          <w:rFonts w:ascii="Times New Roman" w:hAnsi="Times New Roman"/>
          <w:sz w:val="20"/>
        </w:rPr>
      </w:pPr>
      <w:r>
        <w:rPr>
          <w:rFonts w:ascii="Times New Roman" w:hAnsi="Times New Roman"/>
          <w:color w:val="000000"/>
          <w:sz w:val="24"/>
        </w:rPr>
        <w:t>(xii)</w:t>
      </w:r>
      <w:r>
        <w:rPr>
          <w:rFonts w:ascii="Times New Roman" w:hAnsi="Times New Roman"/>
          <w:color w:val="000000"/>
          <w:sz w:val="20"/>
        </w:rPr>
        <w:t xml:space="preserve"> </w:t>
      </w:r>
      <w:r>
        <w:rPr>
          <w:rFonts w:ascii="Times New Roman" w:hAnsi="Times New Roman"/>
          <w:color w:val="000000"/>
          <w:sz w:val="24"/>
        </w:rPr>
        <w:t>Each employee and consultant has signed a written agreement assigning to the applicable Obligor all Intellectual Property rights that are related to such Obligor’s business as now conducted and as conducted at the time of such execution, and such agreements include confidentiality provisions protecting both trade secrets and confidential information of the Obligors.</w:t>
      </w:r>
    </w:p>
    <w:p>
      <w:pPr>
        <w:pStyle w:val="TextBody"/>
        <w:bidi w:val="0"/>
        <w:spacing w:before="280" w:after="283"/>
        <w:jc w:val="both"/>
        <w:rPr>
          <w:rFonts w:ascii="Times New Roman" w:hAnsi="Times New Roman"/>
          <w:sz w:val="20"/>
        </w:rPr>
      </w:pPr>
      <w:r>
        <w:rPr>
          <w:rFonts w:ascii="Times New Roman" w:hAnsi="Times New Roman"/>
          <w:color w:val="000000"/>
          <w:sz w:val="24"/>
        </w:rPr>
        <w:t>(xiii)</w:t>
      </w:r>
      <w:r>
        <w:rPr>
          <w:rFonts w:ascii="Times New Roman" w:hAnsi="Times New Roman"/>
          <w:color w:val="000000"/>
          <w:sz w:val="20"/>
        </w:rPr>
        <w:t xml:space="preserve"> </w:t>
      </w:r>
      <w:r>
        <w:rPr>
          <w:rFonts w:ascii="Times New Roman" w:hAnsi="Times New Roman"/>
          <w:color w:val="000000"/>
          <w:sz w:val="24"/>
        </w:rPr>
        <w:t>To the knowledge of each Obligor, no third party is infringing upon or misappropriating, or violating any license or agreement with such Obligor relating to any Intellectual Property.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7.06.</w:t>
      </w:r>
      <w:r>
        <w:rPr>
          <w:rFonts w:ascii="Times New Roman" w:hAnsi="Times New Roman"/>
          <w:color w:val="000000"/>
          <w:sz w:val="20"/>
        </w:rPr>
        <w:t xml:space="preserve"> </w:t>
      </w:r>
      <w:r>
        <w:rPr>
          <w:rFonts w:ascii="Times New Roman" w:hAnsi="Times New Roman"/>
          <w:i/>
          <w:color w:val="000000"/>
          <w:sz w:val="24"/>
        </w:rPr>
        <w:t>No Actions or Proceedings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Litigation.</w:t>
      </w:r>
      <w:r>
        <w:rPr>
          <w:rFonts w:ascii="Times New Roman" w:hAnsi="Times New Roman"/>
          <w:color w:val="000000"/>
          <w:sz w:val="20"/>
        </w:rPr>
        <w:t xml:space="preserve"> </w:t>
      </w:r>
      <w:r>
        <w:rPr>
          <w:rFonts w:ascii="Times New Roman" w:hAnsi="Times New Roman"/>
          <w:color w:val="000000"/>
          <w:sz w:val="24"/>
        </w:rPr>
        <w:t>There is no litigation, investigation or enforcement proceeding pending or threatened in writing with respect to any Obligor or its Subsidiaries by or before any Governmental Authority or arbitrator (i) that either individually or in the aggregate would reasonably be expected to have a Material Adverse Effect or (ii) that involves this Agreement or the Transactions.</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Environmental Matters.</w:t>
      </w:r>
      <w:r>
        <w:rPr>
          <w:rFonts w:ascii="Times New Roman" w:hAnsi="Times New Roman"/>
          <w:color w:val="000000"/>
          <w:sz w:val="20"/>
        </w:rPr>
        <w:t xml:space="preserve"> </w:t>
      </w:r>
      <w:r>
        <w:rPr>
          <w:rFonts w:ascii="Times New Roman" w:hAnsi="Times New Roman"/>
          <w:color w:val="000000"/>
          <w:sz w:val="24"/>
        </w:rPr>
        <w:t>The operations and the real Property of the Obligors and their Subsidiaries comply with all applicable 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Labor Matters.</w:t>
      </w:r>
      <w:r>
        <w:rPr>
          <w:rFonts w:ascii="Times New Roman" w:hAnsi="Times New Roman"/>
          <w:color w:val="000000"/>
          <w:sz w:val="20"/>
        </w:rPr>
        <w:t xml:space="preserve"> </w:t>
      </w:r>
      <w:r>
        <w:rPr>
          <w:rFonts w:ascii="Times New Roman" w:hAnsi="Times New Roman"/>
          <w:color w:val="000000"/>
          <w:sz w:val="24"/>
        </w:rPr>
        <w:t>No Obligor nor any of its Subsidiaries has engaged in unfair labor practices and there are no pending or, to any Obligor’s knowledge, threatened in writing labor actions, disputes, grievance or arbitration proceedings involving the employees of any Obligor or any of its Subsidiaries, in each case that would reasonably be expected to have a Material Adverse Effect. There is no material strike or work stoppage in existence or threatened in writing against any Obligor or any of its Subsidiaries and to the knowledge of such Obligor, no union organization activity is taking place.</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7.07.</w:t>
      </w:r>
      <w:r>
        <w:rPr>
          <w:rFonts w:ascii="Times New Roman" w:hAnsi="Times New Roman"/>
          <w:color w:val="000000"/>
          <w:sz w:val="20"/>
        </w:rPr>
        <w:t xml:space="preserve"> </w:t>
      </w:r>
      <w:r>
        <w:rPr>
          <w:rFonts w:ascii="Times New Roman" w:hAnsi="Times New Roman"/>
          <w:i/>
          <w:color w:val="000000"/>
          <w:sz w:val="24"/>
        </w:rPr>
        <w:t>Compliance with Laws and Agreements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Each Obligor and each of its Subsidiaries are in compliance with all Requirements of Law (including Health Care Laws and Environmental Laws) and all Contracts binding upon it or its Property, except where the failure to do so, individually or in the aggregate, would not reasonably be expected to result in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Without limiting the generality of the foregoing:</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To the best of each Obligor’s knowledge, any financial relationships between or among any Obligor or any Subsidiary thereof, on the one hand, and any Person who is in a position to refer patients or other health care business to any Obligor or any Subsidiary thereof (collectively a </w:t>
      </w:r>
      <w:r>
        <w:rPr>
          <w:rFonts w:ascii="Times New Roman" w:hAnsi="Times New Roman"/>
          <w:color w:val="000000"/>
          <w:sz w:val="20"/>
        </w:rPr>
        <w:t>“</w:t>
      </w:r>
      <w:r>
        <w:rPr>
          <w:rFonts w:ascii="Times New Roman" w:hAnsi="Times New Roman"/>
          <w:i/>
          <w:color w:val="000000"/>
          <w:sz w:val="24"/>
        </w:rPr>
        <w:t>Referral Source”</w:t>
      </w:r>
      <w:r>
        <w:rPr>
          <w:rFonts w:ascii="Times New Roman" w:hAnsi="Times New Roman"/>
          <w:color w:val="000000"/>
          <w:sz w:val="24"/>
        </w:rPr>
        <w:t>), on the other hand, (A) comply in all material respects with all applicable Health Care Laws, (B) reflect fair market value, have commercially reasonable terms and were negotiated at arm’s length; and (C) do not obligate the Referral Source to purchase, use, recommend or arrange for the use of any products or services of any Obligor or any Subsidiary thereof in any manner that could reasonably be expected to constitute a violation of Health Care Laws. No Obligor, nor any Subsidiary thereof,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All Products have been developed, tested, manufactured, distributed, marketed and sold in compliance in all material respects with all applicable Regulated Product Laws, including, without limitation, all requirements relating to pre</w:t>
        <w:noBreakHyphen/>
        <w:t>market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notification, good manufacturing practices/quality system regulations (21 CFR Part 820), labeling, advertising, record</w:t>
        <w:noBreakHyphen/>
        <w:t>keeping, and adverse event reporting.</w:t>
      </w:r>
    </w:p>
    <w:p>
      <w:pPr>
        <w:pStyle w:val="TextBody"/>
        <w:bidi w:val="0"/>
        <w:spacing w:before="28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Each Obligor and each Subsidiary thereof is in compliance in all material respects with the Physician Payments Sunshine Act (Section 6002 of the Affordable Care Act of 2010) and its implementing regulations and any applicable state disclosure and transparency laws.</w:t>
      </w:r>
    </w:p>
    <w:p>
      <w:pPr>
        <w:pStyle w:val="TextBody"/>
        <w:bidi w:val="0"/>
        <w:spacing w:before="28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No Obligor or Subsidiary participates in, or otherwise directly receives reimbursement from, any Third-Party Payor Program.</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No Obligor nor any Subsidiary thereof, nor, to the knowledge of any Obligor, any owner, officer, director, partner, agent or managing employee or Person with a “direct or indirect ownership interest” (as that phrase is defined in 42 C.F.R. § 420.201) in any Obligor has been (i) excluded from any Federal Health Care Program, (ii) “suspended” or “debarred” from selling products to the U.S. government or its agencies pursuant to the Federal Acquisition Regulation, relating to debarment and suspension applicable to federal government agencies generally (42 C.F.R. Subpart 9.4), (iii) is listed on the General Services Administration list of excluded parties, nor, to the knowledge of the Obligors, is any such debarment, disqualification, suspension or exclusion threatened or pending, or (iv) made a party to any other action by any Governmental Authority that may prohibit it from selling products or providing services to any governmental or other purchaser pursuant to any federal, state or local laws or regulations.</w:t>
      </w:r>
    </w:p>
    <w:p>
      <w:pPr>
        <w:pStyle w:val="TextBody"/>
        <w:bidi w:val="0"/>
        <w:spacing w:before="28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No Obligor nor any Subsidiary thereof is subject to any pending audit, claim review, investigation, proceeding, or other action (in each case, whether civil, criminal, administrative or investigative) relating to any actual or alleged noncompliance with any applicable Health Care Law, which could result in the imposition of any material penalties from any Governmental Authority. No Obligor nor any Subsidiary thereof, nor, to the knowledge of any Obligor, any owner, officer, director, partner, agent or managing employee of any Obligor is a party to or bound by any individual integrity agreement, corporate integrity agreement, corporate compliance agreement, deferred prosecution agreement, settlement agreement or other formal written agreement with any Governmental Authority concerning its compliance with any Health Care Law.</w:t>
      </w:r>
    </w:p>
    <w:p>
      <w:pPr>
        <w:pStyle w:val="TextBody"/>
        <w:bidi w:val="0"/>
        <w:spacing w:before="280" w:after="283"/>
        <w:jc w:val="both"/>
        <w:rPr>
          <w:rFonts w:ascii="Times New Roman" w:hAnsi="Times New Roman"/>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 xml:space="preserve">Each Obligor and Subsidiary thereof maintains and adheres to, in all material respects, a commercially reasonable compliance program designed to promote compliance with and to detect, prevent, and address violations of all material Health Care Laws (a </w:t>
      </w:r>
      <w:r>
        <w:rPr>
          <w:rFonts w:ascii="Times New Roman" w:hAnsi="Times New Roman"/>
          <w:color w:val="000000"/>
          <w:sz w:val="20"/>
        </w:rPr>
        <w:t>“</w:t>
      </w:r>
      <w:r>
        <w:rPr>
          <w:rFonts w:ascii="Times New Roman" w:hAnsi="Times New Roman"/>
          <w:i/>
          <w:color w:val="000000"/>
          <w:sz w:val="24"/>
        </w:rPr>
        <w:t>Health Care Compliance Program”</w:t>
      </w:r>
      <w:r>
        <w:rPr>
          <w:rFonts w:ascii="Times New Roman" w:hAnsi="Times New Roman"/>
          <w:color w:val="000000"/>
          <w:sz w:val="24"/>
        </w:rPr>
        <w:t>). No Obligor nor any Subsidiary thereof is aware of any complaints from any employees, independent contractors, vendors, physicians, customers, patients or other persons that could reasonably be considered to indicate a violation of Health Care Laws which would be reasonably expected to result individually, or in the aggregate, in a Material Adverse Effect.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7.08.</w:t>
      </w:r>
      <w:r>
        <w:rPr>
          <w:rFonts w:ascii="Times New Roman" w:hAnsi="Times New Roman"/>
          <w:color w:val="000000"/>
          <w:sz w:val="20"/>
        </w:rPr>
        <w:t xml:space="preserve"> </w:t>
      </w:r>
      <w:r>
        <w:rPr>
          <w:rFonts w:ascii="Times New Roman" w:hAnsi="Times New Roman"/>
          <w:i/>
          <w:color w:val="000000"/>
          <w:sz w:val="24"/>
        </w:rPr>
        <w:t>Taxes.</w:t>
      </w:r>
      <w:r>
        <w:rPr>
          <w:rFonts w:ascii="Times New Roman" w:hAnsi="Times New Roman"/>
          <w:color w:val="000000"/>
          <w:sz w:val="20"/>
        </w:rPr>
        <w:t xml:space="preserve"> </w:t>
      </w:r>
      <w:r>
        <w:rPr>
          <w:rFonts w:ascii="Times New Roman" w:hAnsi="Times New Roman"/>
          <w:color w:val="000000"/>
          <w:sz w:val="24"/>
        </w:rPr>
        <w:t>Each Obligor has timely filed or caused to be filed all federal income and other material Tax returns and reports required to 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7.09.</w:t>
      </w:r>
      <w:r>
        <w:rPr>
          <w:rFonts w:ascii="Times New Roman" w:hAnsi="Times New Roman"/>
          <w:color w:val="000000"/>
          <w:sz w:val="20"/>
        </w:rPr>
        <w:t xml:space="preserve"> </w:t>
      </w:r>
      <w:r>
        <w:rPr>
          <w:rFonts w:ascii="Times New Roman" w:hAnsi="Times New Roman"/>
          <w:i/>
          <w:color w:val="000000"/>
          <w:sz w:val="24"/>
        </w:rPr>
        <w:t xml:space="preserve">Full Disclosure. </w:t>
      </w:r>
      <w:r>
        <w:rPr>
          <w:rFonts w:ascii="Times New Roman" w:hAnsi="Times New Roman"/>
          <w:color w:val="000000"/>
          <w:sz w:val="24"/>
        </w:rPr>
        <w:t xml:space="preserve">Obligors have disclosed to the Lenders all Material Agreements to which any Obligor is party, and all other matters to its knowledge, that, individually or in the aggregate, would reasonably be expected to result in a Material Adverse Effect. None of the reports, financial statements, certificates or other information furnished by or on behalf of the Obligors to the Lenders in connection with the negotiation of this Agreement and the other Loan Documents or delivered hereunder or thereunder (as modified or supplemented by other information so furnished) contains any material misstatement of material fact or omits to state any material fact necessary to make the statements therein, in the light of the circumstances under which they were made, not misleading; </w:t>
      </w:r>
      <w:r>
        <w:rPr>
          <w:rFonts w:ascii="Times New Roman" w:hAnsi="Times New Roman"/>
          <w:i/>
          <w:color w:val="000000"/>
          <w:sz w:val="24"/>
        </w:rPr>
        <w:t xml:space="preserve">provided </w:t>
      </w:r>
      <w:r>
        <w:rPr>
          <w:rFonts w:ascii="Times New Roman" w:hAnsi="Times New Roman"/>
          <w:color w:val="000000"/>
          <w:sz w:val="24"/>
        </w:rPr>
        <w:t>that, with respect to projected financial information, Obligors represent only that such information was prepared in good faith based upon assumptions believed to be reasonable at the time.</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7.10.</w:t>
      </w:r>
      <w:r>
        <w:rPr>
          <w:rFonts w:ascii="Times New Roman" w:hAnsi="Times New Roman"/>
          <w:color w:val="000000"/>
          <w:sz w:val="20"/>
        </w:rPr>
        <w:t xml:space="preserve"> </w:t>
      </w:r>
      <w:r>
        <w:rPr>
          <w:rFonts w:ascii="Times New Roman" w:hAnsi="Times New Roman"/>
          <w:i/>
          <w:color w:val="000000"/>
          <w:sz w:val="24"/>
        </w:rPr>
        <w:t>Regulation</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Investment Company Act.</w:t>
      </w:r>
      <w:r>
        <w:rPr>
          <w:rFonts w:ascii="Times New Roman" w:hAnsi="Times New Roman"/>
          <w:color w:val="000000"/>
          <w:sz w:val="20"/>
        </w:rPr>
        <w:t xml:space="preserve"> </w:t>
      </w:r>
      <w:r>
        <w:rPr>
          <w:rFonts w:ascii="Times New Roman" w:hAnsi="Times New Roman"/>
          <w:color w:val="000000"/>
          <w:sz w:val="24"/>
        </w:rPr>
        <w:t>No Obligor is an “investment company” as defined in, or subject to regulation under, the Investment Company Act of 1940.</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Margin Stock.</w:t>
      </w:r>
      <w:r>
        <w:rPr>
          <w:rFonts w:ascii="Times New Roman" w:hAnsi="Times New Roman"/>
          <w:color w:val="000000"/>
          <w:sz w:val="20"/>
        </w:rPr>
        <w:t xml:space="preserve"> </w:t>
      </w:r>
      <w:r>
        <w:rPr>
          <w:rFonts w:ascii="Times New Roman" w:hAnsi="Times New Roman"/>
          <w:color w:val="000000"/>
          <w:sz w:val="24"/>
        </w:rPr>
        <w:t>No Obligor is engaged principally, or as one of its important activities, in the business of extending credit for the purpose, whether immediate, incidental or ultimate, of buying or carrying Margin Stock and no part of the proceeds of the Term Loans will be used to buy or carry any Margin Stock in violation of Regulation T, U or X.</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7.11.</w:t>
      </w:r>
      <w:r>
        <w:rPr>
          <w:rFonts w:ascii="Times New Roman" w:hAnsi="Times New Roman"/>
          <w:color w:val="000000"/>
          <w:sz w:val="20"/>
        </w:rPr>
        <w:t xml:space="preserve"> </w:t>
      </w:r>
      <w:r>
        <w:rPr>
          <w:rFonts w:ascii="Times New Roman" w:hAnsi="Times New Roman"/>
          <w:i/>
          <w:color w:val="000000"/>
          <w:sz w:val="24"/>
        </w:rPr>
        <w:t>Solvency.</w:t>
      </w:r>
      <w:r>
        <w:rPr>
          <w:rFonts w:ascii="Times New Roman" w:hAnsi="Times New Roman"/>
          <w:color w:val="000000"/>
          <w:sz w:val="20"/>
        </w:rPr>
        <w:t xml:space="preserve"> </w:t>
      </w:r>
      <w:r>
        <w:rPr>
          <w:rFonts w:ascii="Times New Roman" w:hAnsi="Times New Roman"/>
          <w:color w:val="000000"/>
          <w:sz w:val="24"/>
        </w:rPr>
        <w:t>The Obligors, on a consolidated basis, are, and, immediately after giving effect to the Borrowings, the use of proceeds thereof, and the consummation of the Transactions, will be, Solvent.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7.12.</w:t>
      </w:r>
      <w:r>
        <w:rPr>
          <w:rFonts w:ascii="Times New Roman" w:hAnsi="Times New Roman"/>
          <w:color w:val="000000"/>
          <w:sz w:val="20"/>
        </w:rPr>
        <w:t xml:space="preserve"> </w:t>
      </w:r>
      <w:r>
        <w:rPr>
          <w:rFonts w:ascii="Times New Roman" w:hAnsi="Times New Roman"/>
          <w:i/>
          <w:color w:val="000000"/>
          <w:sz w:val="24"/>
        </w:rPr>
        <w:t>[Reserved].</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7.13.</w:t>
      </w:r>
      <w:r>
        <w:rPr>
          <w:rFonts w:ascii="Times New Roman" w:hAnsi="Times New Roman"/>
          <w:color w:val="000000"/>
          <w:sz w:val="20"/>
        </w:rPr>
        <w:t xml:space="preserve"> </w:t>
      </w:r>
      <w:r>
        <w:rPr>
          <w:rFonts w:ascii="Times New Roman" w:hAnsi="Times New Roman"/>
          <w:i/>
          <w:color w:val="000000"/>
          <w:sz w:val="24"/>
        </w:rPr>
        <w:t>Indebtedness and Liens.</w:t>
      </w:r>
      <w:r>
        <w:rPr>
          <w:rFonts w:ascii="Times New Roman" w:hAnsi="Times New Roman"/>
          <w:color w:val="000000"/>
          <w:sz w:val="20"/>
        </w:rPr>
        <w:t xml:space="preserve"> </w:t>
      </w:r>
      <w:r>
        <w:rPr>
          <w:rFonts w:ascii="Times New Roman" w:hAnsi="Times New Roman"/>
          <w:color w:val="000000"/>
          <w:sz w:val="24"/>
        </w:rPr>
        <w:t>Set forth on Schedule 9.01(b) is a complete and correct list of all Permitted Indebtedness of each Obligor described in Section 9.01(b) as of the date hereof. Set forth on Schedule 9.02(b) is a complete and correct list of all Permitted Liens described in Section 9.02(b) granted by an Obligor with respect to its respective Property and outstanding as of the date hereof.</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7.14.</w:t>
      </w:r>
      <w:r>
        <w:rPr>
          <w:rFonts w:ascii="Times New Roman" w:hAnsi="Times New Roman"/>
          <w:color w:val="000000"/>
          <w:sz w:val="20"/>
        </w:rPr>
        <w:t xml:space="preserve"> </w:t>
      </w:r>
      <w:r>
        <w:rPr>
          <w:rFonts w:ascii="Times New Roman" w:hAnsi="Times New Roman"/>
          <w:i/>
          <w:color w:val="000000"/>
          <w:sz w:val="24"/>
        </w:rPr>
        <w:t>Material Agreements.</w:t>
      </w:r>
      <w:r>
        <w:rPr>
          <w:rFonts w:ascii="Times New Roman" w:hAnsi="Times New Roman"/>
          <w:color w:val="000000"/>
          <w:sz w:val="20"/>
        </w:rPr>
        <w:t xml:space="preserve"> </w:t>
      </w:r>
      <w:r>
        <w:rPr>
          <w:rFonts w:ascii="Times New Roman" w:hAnsi="Times New Roman"/>
          <w:color w:val="000000"/>
          <w:sz w:val="24"/>
        </w:rPr>
        <w:t>Set forth on Schedule 7.14 (as such Schedule may be updated by the Borrower from time to time) is a complete and correct list of (a) each Material Agreement and (b) each Contract creating or evidencing any Material Indebtedness, together with a summary reference to the product or purpose of each such Material Agreement and such Contract, to which an Obligor is a party. Accurate and complete copies of each such Contract listed on such schedule have been made available to the Lenders. No Obligor is in default in any material respect under any such Material Agreement or such Contract creating or evidencing any Material Indebtedness listed on such schedule, and no Obligor has knowledge of any default in any material respect by any counterparty to such Material Agreement or such Contract. Except as otherwise disclosed on Schedule 7.14 (as such Schedule may be updated by the Borrower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7.15.</w:t>
      </w:r>
      <w:r>
        <w:rPr>
          <w:rFonts w:ascii="Times New Roman" w:hAnsi="Times New Roman"/>
          <w:color w:val="000000"/>
          <w:sz w:val="20"/>
        </w:rPr>
        <w:t xml:space="preserve"> </w:t>
      </w:r>
      <w:r>
        <w:rPr>
          <w:rFonts w:ascii="Times New Roman" w:hAnsi="Times New Roman"/>
          <w:i/>
          <w:color w:val="000000"/>
          <w:sz w:val="24"/>
        </w:rPr>
        <w:t>Restrictive Agreements.</w:t>
      </w:r>
      <w:r>
        <w:rPr>
          <w:rFonts w:ascii="Times New Roman" w:hAnsi="Times New Roman"/>
          <w:color w:val="000000"/>
          <w:sz w:val="20"/>
        </w:rPr>
        <w:t xml:space="preserve"> </w:t>
      </w:r>
      <w:r>
        <w:rPr>
          <w:rFonts w:ascii="Times New Roman" w:hAnsi="Times New Roman"/>
          <w:color w:val="000000"/>
          <w:sz w:val="24"/>
        </w:rPr>
        <w:t>None of the Obligors is party to any Restrictive Agreement, except (a) those listed on Schedule 7.15 or otherwise permitted under Section 9.11, (b) restrictions and conditions imposed by Law or by the Loan Documents, (c) any stockholder agreement,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investor rights agreement, charter, bylaws or other Organizational Documents of an Obligor and (d) limitations associated with Permitted Liens.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7.16.</w:t>
      </w:r>
      <w:r>
        <w:rPr>
          <w:rFonts w:ascii="Times New Roman" w:hAnsi="Times New Roman"/>
          <w:color w:val="000000"/>
          <w:sz w:val="20"/>
        </w:rPr>
        <w:t xml:space="preserve"> </w:t>
      </w:r>
      <w:r>
        <w:rPr>
          <w:rFonts w:ascii="Times New Roman" w:hAnsi="Times New Roman"/>
          <w:i/>
          <w:color w:val="000000"/>
          <w:sz w:val="24"/>
        </w:rPr>
        <w:t>Real Property.</w:t>
      </w:r>
      <w:r>
        <w:rPr>
          <w:rFonts w:ascii="Times New Roman" w:hAnsi="Times New Roman"/>
          <w:color w:val="000000"/>
          <w:sz w:val="20"/>
        </w:rPr>
        <w:t xml:space="preserve"> </w:t>
      </w:r>
      <w:r>
        <w:rPr>
          <w:rFonts w:ascii="Times New Roman" w:hAnsi="Times New Roman"/>
          <w:color w:val="000000"/>
          <w:sz w:val="24"/>
        </w:rPr>
        <w:t>No Obligor nor any of its Subsidiaries owns or leases (as tenant thereof) any real Property on the date hereof, except as described on Schedule 7.16.</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7.17.</w:t>
      </w:r>
      <w:r>
        <w:rPr>
          <w:rFonts w:ascii="Times New Roman" w:hAnsi="Times New Roman"/>
          <w:color w:val="000000"/>
          <w:sz w:val="20"/>
        </w:rPr>
        <w:t xml:space="preserve"> </w:t>
      </w:r>
      <w:r>
        <w:rPr>
          <w:rFonts w:ascii="Times New Roman" w:hAnsi="Times New Roman"/>
          <w:i/>
          <w:color w:val="000000"/>
          <w:sz w:val="24"/>
        </w:rPr>
        <w:t>Pension and Other Plans</w:t>
      </w:r>
      <w:r>
        <w:rPr>
          <w:rFonts w:ascii="Times New Roman" w:hAnsi="Times New Roman"/>
          <w:color w:val="000000"/>
          <w:sz w:val="24"/>
        </w:rPr>
        <w:t>. Schedule 7.17 sets forth, as of the date hereof, a complete and correct list of, and that separately identifies, (a) all Title IV Plans, and (b) all Multiemployer Plans. Except as would not, in the aggregate,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 course), sanctions, actions, lawsuits or other proceedings or investigations involving any Benefit Plan, and (iii) no ERISA Event has occurred or is reasonably expected to occur.</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7.18.</w:t>
      </w:r>
      <w:r>
        <w:rPr>
          <w:rFonts w:ascii="Times New Roman" w:hAnsi="Times New Roman"/>
          <w:color w:val="000000"/>
          <w:sz w:val="20"/>
        </w:rPr>
        <w:t xml:space="preserve"> </w:t>
      </w:r>
      <w:r>
        <w:rPr>
          <w:rFonts w:ascii="Times New Roman" w:hAnsi="Times New Roman"/>
          <w:i/>
          <w:color w:val="000000"/>
          <w:sz w:val="24"/>
        </w:rPr>
        <w:t>Collateral; Security Interest.</w:t>
      </w:r>
      <w:r>
        <w:rPr>
          <w:rFonts w:ascii="Times New Roman" w:hAnsi="Times New Roman"/>
          <w:color w:val="000000"/>
          <w:sz w:val="20"/>
        </w:rPr>
        <w:t xml:space="preserve"> </w:t>
      </w:r>
      <w:r>
        <w:rPr>
          <w:rFonts w:ascii="Times New Roman" w:hAnsi="Times New Roman"/>
          <w:color w:val="000000"/>
          <w:sz w:val="24"/>
        </w:rPr>
        <w:t>Each Security Document is effective to create in favor of the Administrative 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(subject only to Permitted Liens) to the extent that such perfection may be obtained by such filing.</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7.19.</w:t>
      </w:r>
      <w:r>
        <w:rPr>
          <w:rFonts w:ascii="Times New Roman" w:hAnsi="Times New Roman"/>
          <w:color w:val="000000"/>
          <w:sz w:val="20"/>
        </w:rPr>
        <w:t xml:space="preserve"> </w:t>
      </w:r>
      <w:r>
        <w:rPr>
          <w:rFonts w:ascii="Times New Roman" w:hAnsi="Times New Roman"/>
          <w:i/>
          <w:color w:val="000000"/>
          <w:sz w:val="24"/>
        </w:rPr>
        <w:t>Regulatory Approvals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Each Obligor and each of its Subsidiaries holds either directly or through licensees and agents, all Regulatory Approvals and Permits necessary or required for each Obligor and its Subsidiaries to conduct all Product Development and Commercialization Activities with respect to the Products.</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Set forth on Schedule 7.19(b) is a complete and accurate list as of the date hereof of all Regulatory Approvals and Permits referred to in clause (a) above, setting forth (on a per Product basis) the Obligor that holds such Regulatory Approval or Permit and a brief description of each such Regulatory Approval or Permit. All such Regulatory Approvals and Permits are (i) legally and/or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Authority. All required and material notices, registrations and listings, supplemental applications or notifications, reports (including annual reports, field alerts, Device reports or other reports of adverse experiences) and all other required and material filings with respect to the Products or any related Product Development and Commercialization Activities have been filed with the applicable Regulatory Authorities or other Governmental Authorities.</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(i) All material regulatory filings required by any Regulatory Authority or in respect of any Product Authorization or other Regulatory Approval with respect to any Product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or any Product Development and Commercialization Activities have been made, and all such filings are complete and correct in all material respects and have complied in all material respects with all applicable Requirements of Law, (ii) all clinical and pre</w:t>
        <w:noBreakHyphen/>
        <w:t>clinical trials, if any, of investigational Products have been and are being conducted by each Obligor according to all applicable Requirements of Law in all material respects along with appropriate monitoring of clinical investigator trial sites for their compliance, and (iii) each Obligor has disclosed to the Lenders all such material regulatory filings and all material communications between representatives of each Obligor and any Regulatory Authority.</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Each Obligor and, to each Obligor’s knowledge, each of its agents are in compliance in all material respects with all applicable statutes, rules and regulations (including all Product Authorizations and other Regulatory Approvals) of all applicable Governmental Authorities, including the FDA and all other applicable Regulatory Authorities, with respect to each Product and all Product Development and Commercialization Activities related thereto. Each Obligor has and maintains in full force and effect all the necessary and required Product Authorizations and other Regulatory Approvals for its Products. Each Obligor is in compliance in all material respects with all applicable registration and listing requirements set forth in all applicable Regulated Product Laws. Each Obligor adheres in all material respects to all applicable regulations of all Regulatory Authorities with respect to the Products and all Product Development and Commercialization Activities related thereto.</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(i) No Obligor has received from any Regulatory Authority any notice of adverse findings with respect to any Product or any Product Development and Commercialization Activities related thereto, including any FDA Form 483 inspectional observations (to the extent any such FDA Form 483 inspectional observation would have a material impact on the conduct of the Borrower’s business operations),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(iii) no Obligor has received any written notification that remains unresolved from the FDA or any other Regulatory Authority indicating any breach or violation of any applicable Product Authorization or other Regulatory Approval, including that any Product is “misbranded” or “adulterated” within the meaning of the FD&amp;C Act or the rules and regulations promulgated thereunder.</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Neither any Obligor nor, to any Obligor’s knowledge, any officer, employee or agent thereof, has made an untrue statement of a material fact or fraudulent statements to the FDA or any other applicable Regulatory Authority, failed to disclose a material fact required to be disclosed to the FDA or any other applicable Regulatory Authority, or committed an act, made a statement, or failed to make a statement that, at the time such disclosure was made (or was not made), would reasonably be expected to provide a basis for the FDA or any other applicable Regulatory Authority to invoke its policy respecting Fraud, Untrue Statements of Material Facts, Bribery and Illegal Gratuities, set forth in 56 Fed. Reg. 46191 (September 10, 1991) or any similar policy.</w:t>
      </w:r>
    </w:p>
    <w:p>
      <w:pPr>
        <w:pStyle w:val="TextBody"/>
        <w:bidi w:val="0"/>
        <w:spacing w:before="28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No Obligor has received any written notice that the FDA or any other applicable Regulatory Authority has commenced or initiated, or, to the knowledge of any such Obligor,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threatened to commence or initiate, any action to withdraw any Regulatory Approval or Product Authorization or requested the recall of any Products or commenced or initiated or, to the knowledge of such Obligor, threatened to commence or initiate, any action to enjoin any Product Development and Commercialization Activities of such Obligor.</w:t>
      </w:r>
    </w:p>
    <w:p>
      <w:pPr>
        <w:pStyle w:val="TextBody"/>
        <w:bidi w:val="0"/>
        <w:spacing w:before="28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Product Authorizations. Each Obligor has operated within, and currently is in compliance in all material respects with, all applicable Regulated Product Laws, Product Authorizations and other Regulatory Approvals. No Obligor has received any notices or other correspondence from the FDA or any other applicable Regulatory Authority requiring the material modification, termination or suspension of any clinical, preclinical, safety or other studies or tests used to support regulatory clearance of, or any Product Authorization or other Regulatory Approval for, any Product.</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No material debarment or exclusionary Claims, actions, proceedings or investigations in respect of any Obligor’s business is pending, or to such Obligor’s knowledge, threatened in writing against such Obligor or its officers, employees or agents. No Obligor or, to such Obligor’s knowledge, any officer, employee or agent of such Obligor, has been convicted of any crime or engaged in any conduct that would reasonably be expected to result in a debarment or exclusion under (i) Section 335a of the FD&amp;C Act or (ii) any similar applicable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7.20.</w:t>
      </w:r>
      <w:r>
        <w:rPr>
          <w:rFonts w:ascii="Times New Roman" w:hAnsi="Times New Roman"/>
          <w:color w:val="000000"/>
          <w:sz w:val="20"/>
        </w:rPr>
        <w:t xml:space="preserve"> </w:t>
      </w:r>
      <w:r>
        <w:rPr>
          <w:rFonts w:ascii="Times New Roman" w:hAnsi="Times New Roman"/>
          <w:i/>
          <w:color w:val="000000"/>
          <w:sz w:val="24"/>
        </w:rPr>
        <w:t>Capitalization.</w:t>
      </w:r>
      <w:r>
        <w:rPr>
          <w:rFonts w:ascii="Times New Roman" w:hAnsi="Times New Roman"/>
          <w:color w:val="000000"/>
          <w:sz w:val="20"/>
        </w:rPr>
        <w:t xml:space="preserve"> </w:t>
      </w:r>
      <w:r>
        <w:rPr>
          <w:rFonts w:ascii="Times New Roman" w:hAnsi="Times New Roman"/>
          <w:color w:val="000000"/>
          <w:sz w:val="24"/>
        </w:rPr>
        <w:t>All of the issued and outstanding securities of each Obligor have been duly authorized, are validly issued, fully paid, and non</w:t>
        <w:noBreakHyphen/>
        <w:t>assessable. As of the Closing Date and except as set forth on Schedule 7.20, there are no outstanding or authorized options, warrants, purchase rights, subscription rights, conversion rights, exchange rights, or other Contracts or commitments that could require the Obligors to issue, sell, or otherwise cause to become outstanding any of their ownership interests. There are no outstanding or authorized stock appreciation, phantom stock, profit participation, or similar rights with respect to the Obligors. There are no voting trusts, proxies, or other agreements or understandings with respect to the voting of the ownership interests of the Obligors. None of the Equity Interests in any Obligor has been mortgaged, assigned or pledged in favor of any Person, other than pursuant to the Security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7.21.</w:t>
      </w:r>
      <w:r>
        <w:rPr>
          <w:rFonts w:ascii="Times New Roman" w:hAnsi="Times New Roman"/>
          <w:color w:val="000000"/>
          <w:sz w:val="20"/>
        </w:rPr>
        <w:t xml:space="preserve"> </w:t>
      </w:r>
      <w:r>
        <w:rPr>
          <w:rFonts w:ascii="Times New Roman" w:hAnsi="Times New Roman"/>
          <w:i/>
          <w:color w:val="000000"/>
          <w:sz w:val="24"/>
        </w:rPr>
        <w:t>Insurance.</w:t>
      </w:r>
      <w:r>
        <w:rPr>
          <w:rFonts w:ascii="Times New Roman" w:hAnsi="Times New Roman"/>
          <w:color w:val="000000"/>
          <w:sz w:val="20"/>
        </w:rPr>
        <w:t xml:space="preserve"> </w:t>
      </w:r>
      <w:r>
        <w:rPr>
          <w:rFonts w:ascii="Times New Roman" w:hAnsi="Times New Roman"/>
          <w:color w:val="000000"/>
          <w:sz w:val="24"/>
        </w:rPr>
        <w:t>Each Obligor has obtained (and is maintaining), insurance for its assets (including the Collateral) and business as required under the Loan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7.22.</w:t>
      </w:r>
      <w:r>
        <w:rPr>
          <w:rFonts w:ascii="Times New Roman" w:hAnsi="Times New Roman"/>
          <w:color w:val="000000"/>
          <w:sz w:val="20"/>
        </w:rPr>
        <w:t xml:space="preserve"> </w:t>
      </w:r>
      <w:r>
        <w:rPr>
          <w:rFonts w:ascii="Times New Roman" w:hAnsi="Times New Roman"/>
          <w:i/>
          <w:color w:val="000000"/>
          <w:sz w:val="24"/>
        </w:rPr>
        <w:t>Certain Fees.</w:t>
      </w:r>
      <w:r>
        <w:rPr>
          <w:rFonts w:ascii="Times New Roman" w:hAnsi="Times New Roman"/>
          <w:color w:val="000000"/>
          <w:sz w:val="20"/>
        </w:rPr>
        <w:t xml:space="preserve"> </w:t>
      </w:r>
      <w:r>
        <w:rPr>
          <w:rFonts w:ascii="Times New Roman" w:hAnsi="Times New Roman"/>
          <w:color w:val="000000"/>
          <w:sz w:val="24"/>
        </w:rPr>
        <w:t>Except as described on Schedule 7.22, no broker’s or finder’s fee will be payable in connection with the execution and delivery of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7.23.</w:t>
      </w:r>
      <w:r>
        <w:rPr>
          <w:rFonts w:ascii="Times New Roman" w:hAnsi="Times New Roman"/>
          <w:color w:val="000000"/>
          <w:sz w:val="20"/>
        </w:rPr>
        <w:t xml:space="preserve"> </w:t>
      </w:r>
      <w:r>
        <w:rPr>
          <w:rFonts w:ascii="Times New Roman" w:hAnsi="Times New Roman"/>
          <w:i/>
          <w:color w:val="000000"/>
          <w:sz w:val="24"/>
        </w:rPr>
        <w:t>Sanctions Laws.</w:t>
      </w:r>
      <w:r>
        <w:rPr>
          <w:rFonts w:ascii="Times New Roman" w:hAnsi="Times New Roman"/>
          <w:color w:val="000000"/>
          <w:sz w:val="20"/>
        </w:rPr>
        <w:t xml:space="preserve"> </w:t>
      </w:r>
      <w:r>
        <w:rPr>
          <w:rFonts w:ascii="Times New Roman" w:hAnsi="Times New Roman"/>
          <w:color w:val="000000"/>
          <w:sz w:val="24"/>
        </w:rPr>
        <w:t>Obligors and, to the knowledge of the Obligors, any director, officer or employee of an Obligor acting on behalf of the Obligors, are in compliance with the Sanctions Laws.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7.24.</w:t>
      </w:r>
      <w:r>
        <w:rPr>
          <w:rFonts w:ascii="Times New Roman" w:hAnsi="Times New Roman"/>
          <w:color w:val="000000"/>
          <w:sz w:val="20"/>
        </w:rPr>
        <w:t xml:space="preserve"> </w:t>
      </w:r>
      <w:r>
        <w:rPr>
          <w:rFonts w:ascii="Times New Roman" w:hAnsi="Times New Roman"/>
          <w:i/>
          <w:color w:val="000000"/>
          <w:sz w:val="24"/>
        </w:rPr>
        <w:t>Anti</w:t>
        <w:noBreakHyphen/>
        <w:t>Corruption Laws.</w:t>
      </w:r>
      <w:r>
        <w:rPr>
          <w:rFonts w:ascii="Times New Roman" w:hAnsi="Times New Roman"/>
          <w:color w:val="000000"/>
          <w:sz w:val="20"/>
        </w:rPr>
        <w:t xml:space="preserve"> </w:t>
      </w:r>
      <w:r>
        <w:rPr>
          <w:rFonts w:ascii="Times New Roman" w:hAnsi="Times New Roman"/>
          <w:color w:val="000000"/>
          <w:sz w:val="24"/>
        </w:rPr>
        <w:t>No Obligor nor any of its Subsidiaries has, nor, to the knowledge of any Responsible Officer of any Obligor, has any director, officer, agent or employee of any Obligor acting on behalf of such Obligor (a) taken any action, directly or indirectly, that would result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a violation by such Persons of the Anti</w:t>
        <w:noBreakHyphen/>
        <w:t>Corruption Laws, (b) made, offered to make, promised to make or authorized the payment or giving of, directly or indirectly, any Prohibited Payment or (c) been subject to any investigation by any Governmental Authority with regard to any actual or alleged Prohibited Payment.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7.25.</w:t>
      </w:r>
      <w:r>
        <w:rPr>
          <w:rFonts w:ascii="Times New Roman" w:hAnsi="Times New Roman"/>
          <w:color w:val="000000"/>
          <w:sz w:val="20"/>
        </w:rPr>
        <w:t xml:space="preserve"> </w:t>
      </w:r>
      <w:r>
        <w:rPr>
          <w:rFonts w:ascii="Times New Roman" w:hAnsi="Times New Roman"/>
          <w:i/>
          <w:color w:val="000000"/>
          <w:sz w:val="24"/>
        </w:rPr>
        <w:t>Anti</w:t>
        <w:noBreakHyphen/>
        <w:t>Terrorism Laws.</w:t>
      </w:r>
      <w:r>
        <w:rPr>
          <w:rFonts w:ascii="Times New Roman" w:hAnsi="Times New Roman"/>
          <w:color w:val="000000"/>
          <w:sz w:val="20"/>
        </w:rPr>
        <w:t xml:space="preserve"> </w:t>
      </w:r>
      <w:r>
        <w:rPr>
          <w:rFonts w:ascii="Times New Roman" w:hAnsi="Times New Roman"/>
          <w:color w:val="000000"/>
          <w:sz w:val="24"/>
        </w:rPr>
        <w:t>The Obligors and their Subsidiaries (a) have taken reasonable measures to ensure compliance with applicable Economic Sanctions Laws and Anti</w:t>
        <w:noBreakHyphen/>
        <w:t>Terrorism Laws, (b) are not Designated Persons and (c) have not used any part of the proceeds from any advance on behalf of any Designated Person or has not used, directly by it or indirectly through any Subsidiary, such proceeds in connection with any investment in, or any transactions or dealings with, any Designated Person.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7.26.</w:t>
      </w:r>
      <w:r>
        <w:rPr>
          <w:rFonts w:ascii="Times New Roman" w:hAnsi="Times New Roman"/>
          <w:color w:val="000000"/>
          <w:sz w:val="20"/>
        </w:rPr>
        <w:t xml:space="preserve"> </w:t>
      </w:r>
      <w:r>
        <w:rPr>
          <w:rFonts w:ascii="Times New Roman" w:hAnsi="Times New Roman"/>
          <w:i/>
          <w:color w:val="000000"/>
          <w:sz w:val="24"/>
        </w:rPr>
        <w:t>Royalty and Other Payments</w:t>
      </w:r>
      <w:r>
        <w:rPr>
          <w:rFonts w:ascii="Times New Roman" w:hAnsi="Times New Roman"/>
          <w:color w:val="000000"/>
          <w:sz w:val="24"/>
        </w:rPr>
        <w:t>. Except as set forth on Schedule 7.26, no Obligor, nor any of its Subsidiaries, is obligated to pay any royalty, milestone payment, deferred payment or any other contingent payment in respect of any Product.</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8</w:t>
        <w:br/>
        <w:br/>
        <w:t>Affirmative Covenants and Financial Covenants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covenants and agrees with the Lenders that, until the Commitments have expired or been terminated and all Obligations (other than the Warrant Obligations and inchoate indemnity obligations) have been paid in full in cash:</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8.01.</w:t>
      </w:r>
      <w:r>
        <w:rPr>
          <w:rFonts w:ascii="Times New Roman" w:hAnsi="Times New Roman"/>
          <w:color w:val="000000"/>
          <w:sz w:val="20"/>
        </w:rPr>
        <w:t xml:space="preserve"> </w:t>
      </w:r>
      <w:r>
        <w:rPr>
          <w:rFonts w:ascii="Times New Roman" w:hAnsi="Times New Roman"/>
          <w:i/>
          <w:color w:val="000000"/>
          <w:sz w:val="24"/>
        </w:rPr>
        <w:t>Financial Statements and Other Information</w:t>
      </w:r>
      <w:r>
        <w:rPr>
          <w:rFonts w:ascii="Times New Roman" w:hAnsi="Times New Roman"/>
          <w:color w:val="000000"/>
          <w:sz w:val="24"/>
        </w:rPr>
        <w:t>. It will furnish to the Administrative Agent for distribution to the Lenders: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as soon as available and in any event within forty (40) days after the end of each fiscal quarter, the consolidated balance sheet of the Borrower and its Subsidiaries as at the end of such fiscal quarter and the related consolidated statement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(i)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w:t>
        <w:noBreakHyphen/>
        <w:t>end adjustments and except for the absence of footnotes and (ii) a management’s discussion and analysis of the financial condition and results of operations, including the Borrower’s and its Subsidiaries’ liquidity and capital resources;</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so long as the Borrower is a Publicly Reporting Company, the Borrower’s filing of a Quarterly Report on Form 10-Q with the SEC shall be deemed to satisfy the requirements of this Section 8.01(b) on the date on which such report is first available via the SEC’s EDGAR system or a successor system related thereto.</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as soon as available and in any event within one hundred twenty (120) days after the end of each fiscal year,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 figures for the previous fiscal year and the corresponding figures from the Financial Plan for the fiscal year covered by such financial statements, prepared substantially in accordance with GAAP consistently applied, all in reasonable detail accompanied by (i) a report and opinion thereon of Grant Thornton LLP or another firm of independent certified public accountants of recognized national standing, which report and opinion shall be prepared in accordance with generally accepted auditing standards, and commencing with the Annual Report on Form 10-K for the Company’s fiscal year ending December 31, 2026, shall not be subject to any “going concern” or like qualification or exception audit (other than solely with respect to, or resulting solely from the upcoming Stated Maturity Date occurring within one year from the time such report is delivered) or any qualification or exception as to the scope of such audit or related to the maturity of the Transactions and (ii) a management’s discussion and analysis of the financial condition and results of operations, including the Obligors’ liquidity and capital resources;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so long as the Borrower is a Publicly Reporting Company, the Borrower’s filing of an Annual Report on Form 10-K with the SEC shall be deemed to satisfy the requirements of this Section 8.01(c) on the date on which such report is first available via the SEC’s EDGAR system or a successor system related thereto;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within forty (40) days after the end of each quarter, a Compliance Certificate of a Responsible Officer of the Borrower as of the end of the applicable accounting period (which delivery may, unless a Lender requests executed originals, be by electronic communication including email and shall be deemed to be an original authentic counterpart thereof for all purposes) in the form of Exhibit E (a </w:t>
      </w:r>
      <w:r>
        <w:rPr>
          <w:rFonts w:ascii="Times New Roman" w:hAnsi="Times New Roman"/>
          <w:color w:val="000000"/>
          <w:sz w:val="20"/>
        </w:rPr>
        <w:t>“</w:t>
      </w:r>
      <w:r>
        <w:rPr>
          <w:rFonts w:ascii="Times New Roman" w:hAnsi="Times New Roman"/>
          <w:i/>
          <w:color w:val="000000"/>
          <w:sz w:val="24"/>
        </w:rPr>
        <w:t>Compliance Certificate”</w:t>
      </w:r>
      <w:r>
        <w:rPr>
          <w:rFonts w:ascii="Times New Roman" w:hAnsi="Times New Roman"/>
          <w:color w:val="000000"/>
          <w:sz w:val="24"/>
        </w:rPr>
        <w:t>) which, for purposes of clarification, shall (i) (A) confirm the Obligors’ compliance with Section 8.11, Section 8.15(a) and Section 8.15(b) and (B)</w:t>
      </w:r>
      <w:r>
        <w:rPr>
          <w:rFonts w:ascii="Times New Roman" w:hAnsi="Times New Roman"/>
          <w:color w:val="000000"/>
          <w:sz w:val="20"/>
        </w:rPr>
        <w:t xml:space="preserve"> </w:t>
      </w:r>
      <w:r>
        <w:rPr>
          <w:rFonts w:ascii="Times New Roman" w:hAnsi="Times New Roman"/>
          <w:color w:val="000000"/>
          <w:sz w:val="24"/>
        </w:rPr>
        <w:t xml:space="preserve">confirm that no Default or Event of Default is continuing (and if a Default or Event of Default has occurred and is continuing state the proposed actions that the Obligors intend to take in connection with such Default or Event of Default), and (ii) for each quarter end that coincides with the end of a fiscal year of the Obligors, (A) provide a copy of any new Material Agreement, except as publicly disclosed by the Borrower as a Publicly Reporting Company, (B) state that the representations and warranties made by the Obligors in Article 7 are true in all material respects on and as of the date thereof;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4"/>
        </w:rPr>
        <w:t>provided further</w:t>
      </w:r>
      <w:r>
        <w:rPr>
          <w:rFonts w:ascii="Times New Roman" w:hAnsi="Times New Roman"/>
          <w:color w:val="000000"/>
          <w:sz w:val="24"/>
        </w:rPr>
        <w:t>, that any representation and warranty that is qualified as to “materiality”, “Material Adverse Effect” or similar language shall be true and correct (after giving effect to any qualification therein) in all respects and (C) provide updated Schedules (if any) to this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within (30) days after the end of each month a Compliance Certificate of a Responsible Officer of the Borrower as of the end of the month which, for purposes of clarification, shall confirm the Obligors’ compliance with Section 8.15(a), which may include statements showing the current balance of each account of the Obligors holding Unrestricted Cash necessary to establish compliance with Section 8.15(a);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promptly, and in any event within five (5) Business Days after receipt thereof by an Obligor thereof, copies of each notice or other correspondence received from any securities regulator or exchange to the authority of which an Obligor is subject concerning any investigation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or possible investigation or other inquiry by such agency regarding financial or other operational results of such Obligor;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the information regarding insurance maintained by Obligors as and when required under Section 8.05;</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promptly following the Lenders’ written request at any time, proof of the Obligors’ compliance with Section 8.15(a), which may include statements showing the current balance of each account of the Obligors holding Unrestricted Cash necessary to establish compliance with Section 8.15(a);</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within ten (10) days of delivery, copies of all periodic reports distributed by the Borrower to its shareholders generally; </w:t>
      </w:r>
      <w:r>
        <w:rPr>
          <w:rFonts w:ascii="Times New Roman" w:hAnsi="Times New Roman"/>
          <w:i/>
          <w:color w:val="000000"/>
          <w:sz w:val="24"/>
        </w:rPr>
        <w:t xml:space="preserve">provided </w:t>
      </w:r>
      <w:r>
        <w:rPr>
          <w:rFonts w:ascii="Times New Roman" w:hAnsi="Times New Roman"/>
          <w:color w:val="000000"/>
          <w:sz w:val="24"/>
        </w:rPr>
        <w:t>that (i) any such material may be redacted by the Borrower to exclude information relating to the Loan Documents or the Lenders and (ii) the Lenders shall not be entitled to receive statements, reports and notices relating to topics that (A) are subject to attorney</w:t>
        <w:noBreakHyphen/>
        <w:t xml:space="preserve">client privilege or (B) present a conflict of interest for the Lenders; </w:t>
      </w:r>
      <w:r>
        <w:rPr>
          <w:rFonts w:ascii="Times New Roman" w:hAnsi="Times New Roman"/>
          <w:i/>
          <w:color w:val="000000"/>
          <w:sz w:val="24"/>
        </w:rPr>
        <w:t xml:space="preserve">provided </w:t>
      </w:r>
      <w:r>
        <w:rPr>
          <w:rFonts w:ascii="Times New Roman" w:hAnsi="Times New Roman"/>
          <w:color w:val="000000"/>
          <w:sz w:val="24"/>
        </w:rPr>
        <w:t>that, if the Borrower is subject to the public reporting requirements of the Exchange Act, the Borrower’s filing of any such material with the SEC shall be deemed to satisfy the requirements of this Section 8.01(g) on the date on which such report is first available via the SEC’s EDGAR system or a successor system related thereto;</w:t>
      </w:r>
    </w:p>
    <w:p>
      <w:pPr>
        <w:pStyle w:val="TextBody"/>
        <w:bidi w:val="0"/>
        <w:spacing w:before="280" w:after="283"/>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only to the extent requested by the Administrative Agent, a financial forecast for the Borrower and its Subsidiaries for each fiscal year, including forecasted balance sheets, statements of income and cash flows of the Borrower and its Subsidiaries (the “</w:t>
      </w:r>
      <w:r>
        <w:rPr>
          <w:rFonts w:ascii="Times New Roman" w:hAnsi="Times New Roman"/>
          <w:i/>
          <w:color w:val="000000"/>
          <w:sz w:val="24"/>
        </w:rPr>
        <w:t>Financial Plan</w:t>
      </w:r>
      <w:r>
        <w:rPr>
          <w:rFonts w:ascii="Times New Roman" w:hAnsi="Times New Roman"/>
          <w:color w:val="000000"/>
          <w:sz w:val="20"/>
        </w:rPr>
        <w:t>”</w:t>
      </w:r>
      <w:r>
        <w:rPr>
          <w:rFonts w:ascii="Times New Roman" w:hAnsi="Times New Roman"/>
          <w:color w:val="000000"/>
          <w:sz w:val="24"/>
        </w:rPr>
        <w:t>), all of which shall be prepared on a consolidated basis and delivered not later than February 28 of such fiscal year;</w:t>
      </w:r>
    </w:p>
    <w:p>
      <w:pPr>
        <w:pStyle w:val="TextBody"/>
        <w:bidi w:val="0"/>
        <w:spacing w:before="280" w:after="283"/>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within five (5) Business Days following any Lender’s written request, certification that such Obligor is not a passive foreign investment company (</w:t>
      </w:r>
      <w:r>
        <w:rPr>
          <w:rFonts w:ascii="Times New Roman" w:hAnsi="Times New Roman"/>
          <w:color w:val="000000"/>
          <w:sz w:val="20"/>
        </w:rPr>
        <w:t>“</w:t>
      </w:r>
      <w:r>
        <w:rPr>
          <w:rFonts w:ascii="Times New Roman" w:hAnsi="Times New Roman"/>
          <w:i/>
          <w:color w:val="000000"/>
          <w:sz w:val="24"/>
        </w:rPr>
        <w:t>PFIC”</w:t>
      </w:r>
      <w:r>
        <w:rPr>
          <w:rFonts w:ascii="Times New Roman" w:hAnsi="Times New Roman"/>
          <w:color w:val="000000"/>
          <w:sz w:val="24"/>
        </w:rPr>
        <w:t>) within the meaning of Sections 1291 through 1297 of the Code, or, if such Obligor determines that it is a PFIC, such information as would allow the Lender to make a qualified electing fund election with respect to the Equity Interest of the Obligor;</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such other information respecting the operations, properties, business or condition (financial or otherwise) of the Obligors (including with respect to the Collateral) as the Lenders may from time to time reasonably request; and</w:t>
      </w:r>
    </w:p>
    <w:p>
      <w:pPr>
        <w:pStyle w:val="TextBody"/>
        <w:bidi w:val="0"/>
        <w:spacing w:before="280" w:after="283"/>
        <w:jc w:val="both"/>
        <w:rPr>
          <w:rFonts w:ascii="Times New Roman" w:hAnsi="Times New Roman"/>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4"/>
        </w:rPr>
        <w:t>so long as the Borrower is a Publicly Reporting Company, the Borrower shall within five (5) Business Days of the Borrower’s filing, provide access (via posting and/or links on the Borrower’s website) to all reports filed with the SEC, any Governmental Authority succeeding to any or all of the functions of the SEC or with any national securities exchange; and within five (5) Business Days of filing, provide notice and access (via posting and/or links on the Borrower’s website) to all reports filed with the SEC, and copies of (or access to, via posting and/or links on the Borrower’s website) all other reports, proxy statements and other materials filed by the Borrower with the SEC, any Governmental Authority succeeding to any of the functions of the SEC or with any national securities exchange.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8.02.</w:t>
      </w:r>
      <w:r>
        <w:rPr>
          <w:rFonts w:ascii="Times New Roman" w:hAnsi="Times New Roman"/>
          <w:color w:val="000000"/>
          <w:sz w:val="20"/>
        </w:rPr>
        <w:t xml:space="preserve"> </w:t>
      </w:r>
      <w:r>
        <w:rPr>
          <w:rFonts w:ascii="Times New Roman" w:hAnsi="Times New Roman"/>
          <w:i/>
          <w:color w:val="000000"/>
          <w:sz w:val="24"/>
        </w:rPr>
        <w:t xml:space="preserve">Notices of Material Events. </w:t>
      </w:r>
      <w:r>
        <w:rPr>
          <w:rFonts w:ascii="Times New Roman" w:hAnsi="Times New Roman"/>
          <w:color w:val="000000"/>
          <w:sz w:val="24"/>
        </w:rPr>
        <w:t>It will furnish to the Administrative Agent for distribution to the Lenders written notice of the following promptly after a Responsible Officer of the Borrower and its Subsidiaries first learns of the existence of:</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 occurrence of any Default or Event of Default;</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occurrence of any event with respect to any Obligor’s Property resulting in a Loss, to the extent not covered by insurance, aggregating $500,000 or more;</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(i) any proposed Acquisition by any Obligor that would reasonably be expected to result in environmental liability under Environmental Laws in excess of $500,000, and (ii) in each case, to the extent that any of the following would reasonably be expected to result in liability in excess of $500,000: (A) any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threatened in writing against or affecting any Obligor or any of its Subsidiaries or with respect to the ownership, use, maintenance and operation of their respective businesses, operations or properties, relating to Environmental Laws or Hazardous Material;</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assertion of any environmental matter by any Person in writing against, or with respect to the activities of, any Obligor or any of its Subsidiaries and any alleged violation of or non</w:t>
        <w:noBreakHyphen/>
        <w:t>compliance with any Environmental Laws or any Permits, licenses or authorizations by any Obligor or any of its Subsidiaries, in each case, which would reasonably be expected to involve damages in excess of $500,000 other than any environmental matter or alleged violation that, if adversely determined, would not reasonably be expected to result (either individually or in the aggregate) in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(i) within ten (10)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w:t>
      </w:r>
    </w:p>
    <w:p>
      <w:pPr>
        <w:pStyle w:val="TextBody"/>
        <w:bidi w:val="0"/>
        <w:spacing w:before="28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within five (5) Business Days of obtaining written notice or knowledge thereof, (i) the termination of any Material Agreement;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or (iv) any amendment to a Material Agreement that would be materially adverse to the Lenders (and a copy thereof) (which includes, but is not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limited to, any amendments to provisions relating to pricing and term);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notices required under this subsection (g) may be delivered with the quarterly Compliance Certificate unless any of the foregoing events would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within five (5) Business Days of obtaining written notice or knowledge thereof, any product recalls, seizures, safety alerts, corrections, withdrawals, marketing suspensions, import alert or detention, removals or the like conducted, to be undertaken or issued by any Obligor or any of its Subsidiaries, whether or not at the request, demand or order of any Governmental Authority or otherwise with respect to any Product;</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within five (5) Business Days of obtaining written notice or knowledge thereof, any infringement or other violation by any Person of any Obligor Intellectual Property that would reasonably be expected to result in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within five (5) Business Days of obtaining written notice or knowledge thereof, a licensing agreement or arrangement entered into by any Obligor or any of its Subsidiaries in connection with any infringement or alleged infringement of the Intellectual Property of another Person;</w:t>
      </w:r>
    </w:p>
    <w:p>
      <w:pPr>
        <w:pStyle w:val="TextBody"/>
        <w:bidi w:val="0"/>
        <w:spacing w:before="280" w:after="283"/>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within five (5)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the distribution of reports and notices as and when required by the Security Documents;</w:t>
      </w:r>
    </w:p>
    <w:p>
      <w:pPr>
        <w:pStyle w:val="TextBody"/>
        <w:bidi w:val="0"/>
        <w:spacing w:before="280" w:after="283"/>
        <w:jc w:val="both"/>
        <w:rPr>
          <w:rFonts w:ascii="Times New Roman" w:hAnsi="Times New Roman"/>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4"/>
        </w:rPr>
        <w:t>within thirty (30) days of the date thereof, or, if earlier, on the date of delivery of any financial statements pursuant to Section 8.01, notice of any material change in accounting policies or financial reporting practices by the Obligors;</w:t>
      </w:r>
    </w:p>
    <w:p>
      <w:pPr>
        <w:pStyle w:val="TextBody"/>
        <w:bidi w:val="0"/>
        <w:spacing w:before="280" w:after="283"/>
        <w:jc w:val="both"/>
        <w:rPr>
          <w:rFonts w:ascii="Times New Roman" w:hAnsi="Times New Roman"/>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color w:val="000000"/>
          <w:sz w:val="24"/>
        </w:rPr>
        <w:t>after the occurrence thereof, notice of any labor controversy resulting in or threatening to result in any strike, work stoppage, boycott, shutdown or other material labor disruption against or involving an Obligor (or any Subsidiary thereof);</w:t>
      </w:r>
    </w:p>
    <w:p>
      <w:pPr>
        <w:pStyle w:val="TextBody"/>
        <w:bidi w:val="0"/>
        <w:spacing w:before="280" w:after="283"/>
        <w:jc w:val="both"/>
        <w:rPr>
          <w:rFonts w:ascii="Times New Roman" w:hAnsi="Times New Roman"/>
          <w:sz w:val="20"/>
        </w:rPr>
      </w:pPr>
      <w:r>
        <w:rPr>
          <w:rFonts w:ascii="Times New Roman" w:hAnsi="Times New Roman"/>
          <w:color w:val="000000"/>
          <w:sz w:val="24"/>
        </w:rPr>
        <w:t>(o)</w:t>
      </w:r>
      <w:r>
        <w:rPr>
          <w:rFonts w:ascii="Times New Roman" w:hAnsi="Times New Roman"/>
          <w:color w:val="000000"/>
          <w:sz w:val="20"/>
        </w:rPr>
        <w:t xml:space="preserve"> </w:t>
      </w:r>
      <w:r>
        <w:rPr>
          <w:rFonts w:ascii="Times New Roman" w:hAnsi="Times New Roman"/>
          <w:color w:val="000000"/>
          <w:sz w:val="24"/>
        </w:rPr>
        <w:t>any other development that results in, or would reasonably be expected to result in,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(p)</w:t>
      </w:r>
      <w:r>
        <w:rPr>
          <w:rFonts w:ascii="Times New Roman" w:hAnsi="Times New Roman"/>
          <w:color w:val="000000"/>
          <w:sz w:val="20"/>
        </w:rPr>
        <w:t xml:space="preserve"> </w:t>
      </w:r>
      <w:r>
        <w:rPr>
          <w:rFonts w:ascii="Times New Roman" w:hAnsi="Times New Roman"/>
          <w:color w:val="000000"/>
          <w:sz w:val="24"/>
        </w:rPr>
        <w:t>the acceleration of the maturity of any Indebtedness owed by any Obligor or of any default by Obligors under any indenture, mortgage, agreement, contract or other instrument to which any of them is a party or by which any of them or any of their properties is bound, if such acceleration or default could, in the reasonable opinion of the Borrower, cause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(q)</w:t>
      </w:r>
      <w:r>
        <w:rPr>
          <w:rFonts w:ascii="Times New Roman" w:hAnsi="Times New Roman"/>
          <w:color w:val="000000"/>
          <w:sz w:val="20"/>
        </w:rPr>
        <w:t xml:space="preserve"> </w:t>
      </w:r>
      <w:r>
        <w:rPr>
          <w:rFonts w:ascii="Times New Roman" w:hAnsi="Times New Roman"/>
          <w:color w:val="000000"/>
          <w:sz w:val="24"/>
        </w:rPr>
        <w:t>any Taxes or obligations that are not paid in accordance with Section 8.04;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(r)</w:t>
      </w:r>
      <w:r>
        <w:rPr>
          <w:rFonts w:ascii="Times New Roman" w:hAnsi="Times New Roman"/>
          <w:color w:val="000000"/>
          <w:sz w:val="20"/>
        </w:rPr>
        <w:t xml:space="preserve"> </w:t>
      </w:r>
      <w:r>
        <w:rPr>
          <w:rFonts w:ascii="Times New Roman" w:hAnsi="Times New Roman"/>
          <w:color w:val="000000"/>
          <w:sz w:val="24"/>
        </w:rPr>
        <w:t>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4"/>
        </w:rPr>
        <w:t>any change to any Obligor’s ownership of Deposit Accounts, Securities Accounts and Commodity Accounts, by delivering to the Lenders an updated Schedule 7 to the Security Agreement setting forth a complete and correct list of all such accounts as of the date of such change;</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(t)</w:t>
      </w:r>
      <w:r>
        <w:rPr>
          <w:rFonts w:ascii="Times New Roman" w:hAnsi="Times New Roman"/>
          <w:color w:val="000000"/>
          <w:sz w:val="20"/>
        </w:rPr>
        <w:t xml:space="preserve"> </w:t>
      </w:r>
      <w:r>
        <w:rPr>
          <w:rFonts w:ascii="Times New Roman" w:hAnsi="Times New Roman"/>
          <w:color w:val="000000"/>
          <w:sz w:val="24"/>
        </w:rPr>
        <w:t>within five (5) Business Days of introducing any Product that is subject to regulation by the FDA, or any comparable foreign Governmental Authority, as a medical device; and</w:t>
      </w:r>
    </w:p>
    <w:p>
      <w:pPr>
        <w:pStyle w:val="TextBody"/>
        <w:bidi w:val="0"/>
        <w:spacing w:before="280" w:after="283"/>
        <w:jc w:val="both"/>
        <w:rPr>
          <w:rFonts w:ascii="Times New Roman" w:hAnsi="Times New Roman"/>
          <w:sz w:val="20"/>
        </w:rPr>
      </w:pPr>
      <w:r>
        <w:rPr>
          <w:rFonts w:ascii="Times New Roman" w:hAnsi="Times New Roman"/>
          <w:color w:val="000000"/>
          <w:sz w:val="24"/>
        </w:rPr>
        <w:t>(u)</w:t>
      </w:r>
      <w:r>
        <w:rPr>
          <w:rFonts w:ascii="Times New Roman" w:hAnsi="Times New Roman"/>
          <w:color w:val="000000"/>
          <w:sz w:val="20"/>
        </w:rPr>
        <w:t xml:space="preserve"> </w:t>
      </w:r>
      <w:r>
        <w:rPr>
          <w:rFonts w:ascii="Times New Roman" w:hAnsi="Times New Roman"/>
          <w:color w:val="000000"/>
          <w:sz w:val="24"/>
        </w:rPr>
        <w:t>within five (5) Business Days of (i) receipt of any subpoena, civil investigative demand letter, or other notice from any Governmental Authority of any investigation or audit, or pending or threatened (in writing) proceedings relating to any material violation of any Health Care Law, (ii) any loss, suspension or relinquishment of any Product Authorization or other Regulatory Approval, or (iii) any voluntary disclosure to a Governmental Authority of an overpayment amount greater than $500,000 related to an actual or potential violation of Health Care Laws.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 w:hAnsi="Times New Roman"/>
          <w:i/>
          <w:color w:val="000000"/>
          <w:sz w:val="24"/>
        </w:rPr>
        <w:t xml:space="preserve">provided </w:t>
      </w:r>
      <w:r>
        <w:rPr>
          <w:rFonts w:ascii="Times New Roman" w:hAnsi="Times New Roman"/>
          <w:color w:val="000000"/>
          <w:sz w:val="24"/>
        </w:rPr>
        <w:t>that, so long as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Notwithstanding any contrary provision of this Agreement or any other Loan Document (including, without limitation, Sections 8.01 and 8.02), so long as the Borrower is a Publicly Reporting Company, in the event that the Administrative Agent provides notice to the Borrower that it no longer desires to receive any information that constitutes material non-public information, the Obligors shall not be required to provide any information pursuant to the terms hereof or thereof unless the Borrower is disclosing such information pursuant to a filing with the SEC; </w:t>
      </w:r>
      <w:r>
        <w:rPr>
          <w:rFonts w:ascii="Times New Roman" w:hAnsi="Times New Roman"/>
          <w:i/>
          <w:color w:val="000000"/>
          <w:sz w:val="24"/>
        </w:rPr>
        <w:t xml:space="preserve">provided </w:t>
      </w:r>
      <w:r>
        <w:rPr>
          <w:rFonts w:ascii="Times New Roman" w:hAnsi="Times New Roman"/>
          <w:color w:val="000000"/>
          <w:sz w:val="24"/>
        </w:rPr>
        <w:t>that notwithstanding the foregoing, the Obligors shall at all times comply with Section 8.01(d) and 8.02(a).</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8.03.</w:t>
      </w:r>
      <w:r>
        <w:rPr>
          <w:rFonts w:ascii="Times New Roman" w:hAnsi="Times New Roman"/>
          <w:color w:val="000000"/>
          <w:sz w:val="20"/>
        </w:rPr>
        <w:t xml:space="preserve"> </w:t>
      </w:r>
      <w:r>
        <w:rPr>
          <w:rFonts w:ascii="Times New Roman" w:hAnsi="Times New Roman"/>
          <w:i/>
          <w:color w:val="000000"/>
          <w:sz w:val="24"/>
        </w:rPr>
        <w:t>Existence; Maintenance of Properties, Etc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It will, and will cause each of its Subsidiaries to, do or cause to be done all things necessary to preserve, renew and keep in full force and effect its legal existence;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foregoing shall not prohibit any merger, amalgamation, plan of arrangement, consolidation, liquidation or dissolution permitted under Section 9.03.</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It shall, and shall cause each of its Subsidiaries to, maintain and preserve all rights, licenses, Permits, privileges and franchises material to the conduct of its business, and maintain and preserve all of its assets and properties, including all Product Assets, necessary to the conduct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its business in good working order and condition, ordinary wear and tear and damage from casualty or condemnation excepted.</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It shall, and shall cause each of its Subsidiaries to, use commercially reasonable efforts to cause each new employee and contractor to execute and deliver a customary confidentiality, non</w:t>
        <w:noBreakHyphen/>
        <w:t>disclosure, and Intellectual Property assignment agreement that includes a waiver of moral rights.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8.04.</w:t>
      </w:r>
      <w:r>
        <w:rPr>
          <w:rFonts w:ascii="Times New Roman" w:hAnsi="Times New Roman"/>
          <w:color w:val="000000"/>
          <w:sz w:val="20"/>
        </w:rPr>
        <w:t xml:space="preserve"> </w:t>
      </w:r>
      <w:r>
        <w:rPr>
          <w:rFonts w:ascii="Times New Roman" w:hAnsi="Times New Roman"/>
          <w:i/>
          <w:color w:val="000000"/>
          <w:sz w:val="24"/>
        </w:rPr>
        <w:t>Payment of Obligations.</w:t>
      </w:r>
      <w:r>
        <w:rPr>
          <w:rFonts w:ascii="Times New Roman" w:hAnsi="Times New Roman"/>
          <w:color w:val="000000"/>
          <w:sz w:val="20"/>
        </w:rPr>
        <w:t xml:space="preserve"> </w:t>
      </w:r>
      <w:r>
        <w:rPr>
          <w:rFonts w:ascii="Times New Roman" w:hAnsi="Times New Roman"/>
          <w:color w:val="000000"/>
          <w:sz w:val="24"/>
        </w:rPr>
        <w:t>It will, and will cause each of its Subsidiaries to, pay and discharge (a) all federal income and other material 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8.05.</w:t>
      </w:r>
      <w:r>
        <w:rPr>
          <w:rFonts w:ascii="Times New Roman" w:hAnsi="Times New Roman"/>
          <w:color w:val="000000"/>
          <w:sz w:val="20"/>
        </w:rPr>
        <w:t xml:space="preserve"> </w:t>
      </w:r>
      <w:r>
        <w:rPr>
          <w:rFonts w:ascii="Times New Roman" w:hAnsi="Times New Roman"/>
          <w:i/>
          <w:color w:val="000000"/>
          <w:sz w:val="24"/>
        </w:rPr>
        <w:t>Insurance.</w:t>
      </w:r>
      <w:r>
        <w:rPr>
          <w:rFonts w:ascii="Times New Roman" w:hAnsi="Times New Roman"/>
          <w:color w:val="000000"/>
          <w:sz w:val="20"/>
        </w:rPr>
        <w:t xml:space="preserve"> </w:t>
      </w:r>
      <w:r>
        <w:rPr>
          <w:rFonts w:ascii="Times New Roman" w:hAnsi="Times New Roman"/>
          <w:color w:val="000000"/>
          <w:sz w:val="24"/>
        </w:rPr>
        <w:t>At its own cost and expense, it will, and will cause each of its Subsidiaries, to obtain and 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The 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the Borrower (payable within three (3) Business Days of the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 insured clauses or endorsements in favor of the Administrative Agent as required by this Section 8.05, delivered to the Administrative Agent on or before the Closing Date and at such other times as the Administrative Agent may request from time to time.</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8.06.</w:t>
      </w:r>
      <w:r>
        <w:rPr>
          <w:rFonts w:ascii="Times New Roman" w:hAnsi="Times New Roman"/>
          <w:color w:val="000000"/>
          <w:sz w:val="20"/>
        </w:rPr>
        <w:t xml:space="preserve"> </w:t>
      </w:r>
      <w:r>
        <w:rPr>
          <w:rFonts w:ascii="Times New Roman" w:hAnsi="Times New Roman"/>
          <w:i/>
          <w:color w:val="000000"/>
          <w:sz w:val="24"/>
        </w:rPr>
        <w:t>Books and Records; Inspection Rights.</w:t>
      </w:r>
      <w:r>
        <w:rPr>
          <w:rFonts w:ascii="Times New Roman" w:hAnsi="Times New Roman"/>
          <w:color w:val="000000"/>
          <w:sz w:val="20"/>
        </w:rPr>
        <w:t xml:space="preserve"> </w:t>
      </w:r>
      <w:r>
        <w:rPr>
          <w:rFonts w:ascii="Times New Roman" w:hAnsi="Times New Roman"/>
          <w:color w:val="000000"/>
          <w:sz w:val="24"/>
        </w:rPr>
        <w:t>It will, and will cause each of its Subsidiaries to, keep proper books 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and at reasonable times, to visit and inspect its properties, to examine and make extracts from its books and records, and to discuss its affairs, finances and condition with its officers and</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independent accountants, all at such reasonable times during normal business hours and with reasonable advance notice as the Administrative Agent may request. It will, and will cause each of its Subsidiaries to, pay all reasonable and documented out</w:t>
        <w:noBreakHyphen/>
        <w:t>of</w:t>
        <w:noBreakHyphen/>
        <w:t>pocket expenses incurred by the Administrative Agent (a) so long as no Default has occurred and is continuing, for no more than two (2) such inspections each calendar year and (b) during a continuing Default, all such inspections.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8.07.</w:t>
      </w:r>
      <w:r>
        <w:rPr>
          <w:rFonts w:ascii="Times New Roman" w:hAnsi="Times New Roman"/>
          <w:color w:val="000000"/>
          <w:sz w:val="20"/>
        </w:rPr>
        <w:t xml:space="preserve"> </w:t>
      </w:r>
      <w:r>
        <w:rPr>
          <w:rFonts w:ascii="Times New Roman" w:hAnsi="Times New Roman"/>
          <w:i/>
          <w:color w:val="000000"/>
          <w:sz w:val="24"/>
        </w:rPr>
        <w:t>Compliance with Laws.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It will, and will cause each of its Subsidiaries to, (i) comply in all material respects with all Requirements of Law (including Health Care Laws and Environmental Laws) and (ii) comply in all material respects with all terms of outstanding Indebtedness and all Material Agreements, except where the failure to do so, individually or in the aggregate, would not reasonably be expected to result in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Each Obligor will maintain, and will cause each of its Subsidiaries to maintain, all records required to be maintained by a Governmental Authority or otherwise under any applicable Health Care Law, except where failure to do so, individually or in the aggregate, would not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Each Obligor will maintain, and will cause each of its Subsidiaries to maintain, a Health Care Compliance Program, which will be reviewed and updated annually, as necessary.</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8.08.</w:t>
      </w:r>
      <w:r>
        <w:rPr>
          <w:rFonts w:ascii="Times New Roman" w:hAnsi="Times New Roman"/>
          <w:color w:val="000000"/>
          <w:sz w:val="20"/>
        </w:rPr>
        <w:t xml:space="preserve"> </w:t>
      </w:r>
      <w:r>
        <w:rPr>
          <w:rFonts w:ascii="Times New Roman" w:hAnsi="Times New Roman"/>
          <w:i/>
          <w:color w:val="000000"/>
          <w:sz w:val="24"/>
        </w:rPr>
        <w:t>Licenses.</w:t>
      </w:r>
      <w:r>
        <w:rPr>
          <w:rFonts w:ascii="Times New Roman" w:hAnsi="Times New Roman"/>
          <w:color w:val="000000"/>
          <w:sz w:val="20"/>
        </w:rPr>
        <w:t xml:space="preserve"> </w:t>
      </w:r>
      <w:r>
        <w:rPr>
          <w:rFonts w:ascii="Times New Roman" w:hAnsi="Times New Roman"/>
          <w:color w:val="000000"/>
          <w:sz w:val="24"/>
        </w:rPr>
        <w:t>It will, and will cause each of its Subsidiaries to, obtain and maintain all licenses, authorizations, consents, filings, 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8.09.</w:t>
      </w:r>
      <w:r>
        <w:rPr>
          <w:rFonts w:ascii="Times New Roman" w:hAnsi="Times New Roman"/>
          <w:color w:val="000000"/>
          <w:sz w:val="20"/>
        </w:rPr>
        <w:t xml:space="preserve"> </w:t>
      </w:r>
      <w:r>
        <w:rPr>
          <w:rFonts w:ascii="Times New Roman" w:hAnsi="Times New Roman"/>
          <w:i/>
          <w:color w:val="000000"/>
          <w:sz w:val="24"/>
        </w:rPr>
        <w:t>Action under Environmental Laws.</w:t>
      </w:r>
      <w:r>
        <w:rPr>
          <w:rFonts w:ascii="Times New Roman" w:hAnsi="Times New Roman"/>
          <w:color w:val="000000"/>
          <w:sz w:val="20"/>
        </w:rPr>
        <w:t xml:space="preserve"> </w:t>
      </w:r>
      <w:r>
        <w:rPr>
          <w:rFonts w:ascii="Times New Roman" w:hAnsi="Times New Roman"/>
          <w:color w:val="000000"/>
          <w:sz w:val="24"/>
        </w:rPr>
        <w:t>It will, and will cause each of its Subsidiaries to, upon a Responsible Officer becoming aware of the release of any Hazardous Materials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in each case in material compliance with applicable Environmental Laws.</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8.10.</w:t>
      </w:r>
      <w:r>
        <w:rPr>
          <w:rFonts w:ascii="Times New Roman" w:hAnsi="Times New Roman"/>
          <w:color w:val="000000"/>
          <w:sz w:val="20"/>
        </w:rPr>
        <w:t xml:space="preserve"> </w:t>
      </w:r>
      <w:r>
        <w:rPr>
          <w:rFonts w:ascii="Times New Roman" w:hAnsi="Times New Roman"/>
          <w:i/>
          <w:color w:val="000000"/>
          <w:sz w:val="24"/>
        </w:rPr>
        <w:t>Use of Proceeds.</w:t>
      </w:r>
      <w:r>
        <w:rPr>
          <w:rFonts w:ascii="Times New Roman" w:hAnsi="Times New Roman"/>
          <w:color w:val="000000"/>
          <w:sz w:val="20"/>
        </w:rPr>
        <w:t xml:space="preserve"> </w:t>
      </w:r>
      <w:r>
        <w:rPr>
          <w:rFonts w:ascii="Times New Roman" w:hAnsi="Times New Roman"/>
          <w:color w:val="000000"/>
          <w:sz w:val="24"/>
        </w:rPr>
        <w:t>The proceeds of the Term Loans will be used only as provided in Section 2.05. No part of the proceeds of the Term Loans will be used, whether directly or indirectly, for any purpose that violates any of the Regulations of the Board of Governors of the Federal Reserve System, including Regulations T, U and X.</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8.11.</w:t>
      </w:r>
      <w:r>
        <w:rPr>
          <w:rFonts w:ascii="Times New Roman" w:hAnsi="Times New Roman"/>
          <w:color w:val="000000"/>
          <w:sz w:val="20"/>
        </w:rPr>
        <w:t xml:space="preserve"> </w:t>
      </w:r>
      <w:r>
        <w:rPr>
          <w:rFonts w:ascii="Times New Roman" w:hAnsi="Times New Roman"/>
          <w:i/>
          <w:color w:val="000000"/>
          <w:sz w:val="24"/>
        </w:rPr>
        <w:t>Certain Obligations Respecting Subsidiaries; Further Assurances</w:t>
      </w:r>
      <w:r>
        <w:rPr>
          <w:rFonts w:ascii="Times New Roman" w:hAnsi="Times New Roman"/>
          <w:color w:val="000000"/>
          <w:sz w:val="24"/>
        </w:rPr>
        <w:t xml:space="preserve">; </w:t>
      </w:r>
      <w:r>
        <w:rPr>
          <w:rFonts w:ascii="Times New Roman" w:hAnsi="Times New Roman"/>
          <w:i/>
          <w:color w:val="000000"/>
          <w:sz w:val="24"/>
        </w:rPr>
        <w:t>Intellectual Property.</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Subsidiaries.</w:t>
      </w:r>
      <w:r>
        <w:rPr>
          <w:rFonts w:ascii="Times New Roman" w:hAnsi="Times New Roman"/>
          <w:color w:val="000000"/>
          <w:sz w:val="20"/>
        </w:rPr>
        <w:t xml:space="preserve"> </w:t>
      </w:r>
      <w:r>
        <w:rPr>
          <w:rFonts w:ascii="Times New Roman" w:hAnsi="Times New Roman"/>
          <w:color w:val="000000"/>
          <w:sz w:val="24"/>
        </w:rPr>
        <w:t>It will take such action, and will cause each of its Subsidiaries to take such action, from time to time as shall be necessary to ensure that all Domestic Subsidiaries are “Guarantors” hereunder. Without limiting the generality of the foregoing, in the event that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Obligor shall form or acquire any new Subsidiary, it and its Subsidiaries will promptly and in any event within fifteen (15) days (or such longer time as consented to by the Administrative Agent in writing) of the formation or Acquisition of such Subsidiary:</w:t>
      </w:r>
    </w:p>
    <w:p>
      <w:pPr>
        <w:pStyle w:val="TextBody"/>
        <w:bidi w:val="0"/>
        <w:spacing w:before="20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cause such new Subsidiary to become a “Guarantor” hereunder, and a “Grantor” under the Security Documents, pursuant to a Guarantee Assumption Agreement;</w:t>
      </w:r>
    </w:p>
    <w:p>
      <w:pPr>
        <w:pStyle w:val="TextBody"/>
        <w:bidi w:val="0"/>
        <w:spacing w:before="20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 Property of such new Subsidiary as collateral security for the obligations of such new Subsidiary hereunder;</w:t>
      </w:r>
    </w:p>
    <w:p>
      <w:pPr>
        <w:pStyle w:val="TextBody"/>
        <w:bidi w:val="0"/>
        <w:spacing w:before="20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to the extent that the parent of such Subsidiary is not a party to the Security Documents or has not otherwise pledged Equity Interests in its Subsidiaries in accordance with the terms of the Security Documents and this Agreement, cause the parent of such Subsidiary to execute and deliver a pledge agreement in favor of the Administrative Agent, in respect of all outstanding issued shares of such Subsidiary; and</w:t>
      </w:r>
    </w:p>
    <w:p>
      <w:pPr>
        <w:pStyle w:val="TextBody"/>
        <w:bidi w:val="0"/>
        <w:spacing w:before="20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deliver such proof of corporate action, incumbency of officers, opinions of counsel and other documents as is consistent with those delivered by each Obligor pursuant to Section 6.01 or as the Majority Lenders shall have requested;</w:t>
      </w:r>
    </w:p>
    <w:p>
      <w:pPr>
        <w:pStyle w:val="TextBody"/>
        <w:bidi w:val="0"/>
        <w:spacing w:before="200" w:after="283"/>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solely with respect to AVITA Japan, no such actions shall be required other than a pledge by Avita Americas of 100% of the Equity Interests of AVITA Japan, which pledge shall not be required to be perfected under the Law of AVITA Japan’s jurisdiction of formation;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in the event that (x) AVITA Japan’s total assets exceed 4% of the consolidated total assets of the Borrower or (y) the aggregate amount of the Net Revenue of AVITA Japan exceeds 4% of the Net Revenue of the Borrower and its Subsidiaries, AVITA Japan shall, at the request of the Administrative Agent, promptly comply with clauses (a)(i)-(iv) hereof.</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Further Assurances.</w:t>
      </w:r>
      <w:r>
        <w:rPr>
          <w:rFonts w:ascii="Times New Roman" w:hAnsi="Times New Roman"/>
          <w:color w:val="000000"/>
          <w:sz w:val="20"/>
        </w:rPr>
        <w:t xml:space="preserve"> </w:t>
      </w:r>
      <w:r>
        <w:rPr>
          <w:rFonts w:ascii="Times New Roman" w:hAnsi="Times New Roman"/>
          <w:color w:val="000000"/>
          <w:sz w:val="24"/>
        </w:rPr>
        <w:t xml:space="preserve">It will, and will cause each of its Subsidiaries to, take such action from time to time as shall reasonably be requested in writing by the Majority Lenders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Majority Lenders to create, in favor of the Administrative Agent, perfected security interests and Liens (subject to Permitted Liens) in substantially all of the personal Property of such Obligor as collateral security for the Obligations; </w:t>
      </w:r>
      <w:r>
        <w:rPr>
          <w:rFonts w:ascii="Times New Roman" w:hAnsi="Times New Roman"/>
          <w:i/>
          <w:color w:val="000000"/>
          <w:sz w:val="24"/>
        </w:rPr>
        <w:t xml:space="preserve">provided </w:t>
      </w:r>
      <w:r>
        <w:rPr>
          <w:rFonts w:ascii="Times New Roman" w:hAnsi="Times New Roman"/>
          <w:color w:val="000000"/>
          <w:sz w:val="24"/>
        </w:rPr>
        <w:t>that any such security interest or Lien shall be subject to the relevant requirements of the Security Documents.</w:t>
      </w:r>
    </w:p>
    <w:p>
      <w:pPr>
        <w:pStyle w:val="TextBody"/>
        <w:bidi w:val="0"/>
        <w:spacing w:before="20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Intellectual Property</w:t>
      </w:r>
      <w:r>
        <w:rPr>
          <w:rFonts w:ascii="Times New Roman" w:hAnsi="Times New Roman"/>
          <w:color w:val="000000"/>
          <w:sz w:val="24"/>
        </w:rPr>
        <w:t>. In the event that any Obligor creates, develops or acquires Obligor Intellectual 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request of the Administrative Agent, such Obligor shall take any action as shall be reasonably necessary and reasonably requested by the Administrative Agent to ensure that the provisions of this Agreement and the Security Agreement shall apply thereto and any such Obligor Intellectual Property shall constitute part of the Collateral under the Security Documents.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4"/>
        </w:rPr>
        <w:t>Section 8.12.</w:t>
      </w:r>
      <w:r>
        <w:rPr>
          <w:rFonts w:ascii="Times New Roman" w:hAnsi="Times New Roman"/>
          <w:color w:val="000000"/>
          <w:sz w:val="20"/>
        </w:rPr>
        <w:t xml:space="preserve"> </w:t>
      </w:r>
      <w:r>
        <w:rPr>
          <w:rFonts w:ascii="Times New Roman" w:hAnsi="Times New Roman"/>
          <w:i/>
          <w:color w:val="000000"/>
          <w:sz w:val="24"/>
        </w:rPr>
        <w:t>Termination of Non</w:t>
        <w:noBreakHyphen/>
        <w:t>Permitted Liens.</w:t>
      </w:r>
      <w:r>
        <w:rPr>
          <w:rFonts w:ascii="Times New Roman" w:hAnsi="Times New Roman"/>
          <w:color w:val="000000"/>
          <w:sz w:val="20"/>
        </w:rPr>
        <w:t xml:space="preserve"> </w:t>
      </w:r>
      <w:r>
        <w:rPr>
          <w:rFonts w:ascii="Times New Roman" w:hAnsi="Times New Roman"/>
          <w:color w:val="000000"/>
          <w:sz w:val="24"/>
        </w:rPr>
        <w:t>In the event that any Responsible Officer of any Obligor shall become aware or be notified by the Lenders of the existence of any outstanding Lien against any Property of any Obligor or any of its Subsidiaries, which Lien is not a Permitted Lien, such Obligor shall use its best efforts to promptly terminate or cause the termination of such Lien.</w:t>
      </w:r>
    </w:p>
    <w:p>
      <w:pPr>
        <w:pStyle w:val="TextBody"/>
        <w:bidi w:val="0"/>
        <w:spacing w:before="200" w:after="283"/>
        <w:jc w:val="both"/>
        <w:rPr>
          <w:rFonts w:ascii="Times New Roman" w:hAnsi="Times New Roman"/>
          <w:sz w:val="20"/>
        </w:rPr>
      </w:pPr>
      <w:r>
        <w:rPr>
          <w:rFonts w:ascii="Times New Roman" w:hAnsi="Times New Roman"/>
          <w:i/>
          <w:color w:val="000000"/>
          <w:sz w:val="24"/>
        </w:rPr>
        <w:t>Section 8.13.</w:t>
      </w:r>
      <w:r>
        <w:rPr>
          <w:rFonts w:ascii="Times New Roman" w:hAnsi="Times New Roman"/>
          <w:color w:val="000000"/>
          <w:sz w:val="20"/>
        </w:rPr>
        <w:t xml:space="preserve"> </w:t>
      </w:r>
      <w:r>
        <w:rPr>
          <w:rFonts w:ascii="Times New Roman" w:hAnsi="Times New Roman"/>
          <w:i/>
          <w:color w:val="000000"/>
          <w:sz w:val="24"/>
        </w:rPr>
        <w:t>Non</w:t>
        <w:noBreakHyphen/>
        <w:t>Consolidation</w:t>
      </w:r>
      <w:r>
        <w:rPr>
          <w:rFonts w:ascii="Times New Roman" w:hAnsi="Times New Roman"/>
          <w:color w:val="000000"/>
          <w:sz w:val="24"/>
        </w:rPr>
        <w:t>. It will, and will cause each of its Subsidiaries to, (a) maintain entity records and books of account separate from those of any other entity which is an Affiliate of such entity; and (b) not commingle its funds or assets with those of any other entity which is an Affiliate of such entity.</w:t>
      </w:r>
    </w:p>
    <w:p>
      <w:pPr>
        <w:pStyle w:val="TextBody"/>
        <w:bidi w:val="0"/>
        <w:spacing w:before="200" w:after="283"/>
        <w:jc w:val="both"/>
        <w:rPr>
          <w:rFonts w:ascii="Times New Roman" w:hAnsi="Times New Roman"/>
          <w:sz w:val="20"/>
        </w:rPr>
      </w:pPr>
      <w:r>
        <w:rPr>
          <w:rFonts w:ascii="Times New Roman" w:hAnsi="Times New Roman"/>
          <w:i/>
          <w:color w:val="000000"/>
          <w:sz w:val="24"/>
        </w:rPr>
        <w:t>Section 8.14.</w:t>
      </w:r>
      <w:r>
        <w:rPr>
          <w:rFonts w:ascii="Times New Roman" w:hAnsi="Times New Roman"/>
          <w:color w:val="000000"/>
          <w:sz w:val="20"/>
        </w:rPr>
        <w:t xml:space="preserve"> </w:t>
      </w:r>
      <w:r>
        <w:rPr>
          <w:rFonts w:ascii="Times New Roman" w:hAnsi="Times New Roman"/>
          <w:i/>
          <w:color w:val="000000"/>
          <w:sz w:val="24"/>
        </w:rPr>
        <w:t>Anti</w:t>
        <w:noBreakHyphen/>
        <w:t>Terrorism and Anti</w:t>
        <w:noBreakHyphen/>
        <w:t>Corruption Laws</w:t>
      </w:r>
      <w:r>
        <w:rPr>
          <w:rFonts w:ascii="Times New Roman" w:hAnsi="Times New Roman"/>
          <w:color w:val="000000"/>
          <w:sz w:val="24"/>
        </w:rPr>
        <w:t>. No Obligor nor any of its Subsidiaries shall engage in any transaction that violates any of the applicable prohibitions set forth in any Economic Sanctions Law, Anti</w:t>
        <w:noBreakHyphen/>
        <w:t xml:space="preserve">Terrorism Law, or the </w:t>
      </w:r>
      <w:r>
        <w:rPr>
          <w:rFonts w:ascii="Times New Roman" w:hAnsi="Times New Roman"/>
          <w:i/>
          <w:color w:val="000000"/>
          <w:sz w:val="24"/>
        </w:rPr>
        <w:t>US Foreign Corrupt Practices Act of 1977</w:t>
      </w:r>
      <w:r>
        <w:rPr>
          <w:rFonts w:ascii="Times New Roman" w:hAnsi="Times New Roman"/>
          <w:color w:val="000000"/>
          <w:sz w:val="20"/>
        </w:rPr>
        <w:t xml:space="preserve"> </w:t>
      </w:r>
      <w:r>
        <w:rPr>
          <w:rFonts w:ascii="Times New Roman" w:hAnsi="Times New Roman"/>
          <w:color w:val="000000"/>
          <w:sz w:val="24"/>
        </w:rPr>
        <w:t>(15 USC. §§ 78dd</w:t>
        <w:noBreakHyphen/>
        <w:t xml:space="preserve">1 </w:t>
      </w:r>
      <w:r>
        <w:rPr>
          <w:rFonts w:ascii="Times New Roman" w:hAnsi="Times New Roman"/>
          <w:i/>
          <w:color w:val="000000"/>
          <w:sz w:val="24"/>
        </w:rPr>
        <w:t>et seq.</w:t>
      </w:r>
      <w:r>
        <w:rPr>
          <w:rFonts w:ascii="Times New Roman" w:hAnsi="Times New Roman"/>
          <w:color w:val="000000"/>
          <w:sz w:val="24"/>
        </w:rPr>
        <w:t>). None of the funds or assets of such Obligor or any 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any Obligor or any of its Subsidiaries insofar as such interest would violate any Economic Sanctions Laws applicable to such Obligor or such Subsidiary.</w:t>
      </w:r>
    </w:p>
    <w:p>
      <w:pPr>
        <w:pStyle w:val="TextBody"/>
        <w:bidi w:val="0"/>
        <w:spacing w:before="200" w:after="283"/>
        <w:jc w:val="both"/>
        <w:rPr>
          <w:rFonts w:ascii="Times New Roman" w:hAnsi="Times New Roman"/>
          <w:sz w:val="20"/>
        </w:rPr>
      </w:pPr>
      <w:r>
        <w:rPr>
          <w:rFonts w:ascii="Times New Roman" w:hAnsi="Times New Roman"/>
          <w:i/>
          <w:color w:val="000000"/>
          <w:sz w:val="24"/>
        </w:rPr>
        <w:t>Section 8.15.</w:t>
      </w:r>
      <w:r>
        <w:rPr>
          <w:rFonts w:ascii="Times New Roman" w:hAnsi="Times New Roman"/>
          <w:color w:val="000000"/>
          <w:sz w:val="20"/>
        </w:rPr>
        <w:t xml:space="preserve"> </w:t>
      </w:r>
      <w:r>
        <w:rPr>
          <w:rFonts w:ascii="Times New Roman" w:hAnsi="Times New Roman"/>
          <w:i/>
          <w:color w:val="000000"/>
          <w:sz w:val="24"/>
        </w:rPr>
        <w:t>Financial Covenants</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Minimum Liquidity</w:t>
      </w:r>
      <w:r>
        <w:rPr>
          <w:rFonts w:ascii="Times New Roman" w:hAnsi="Times New Roman"/>
          <w:color w:val="000000"/>
          <w:sz w:val="24"/>
        </w:rPr>
        <w:t>. The Borrower shall ensure that the Obligors shall have aggregate Unrestricted Cash of not less than $5,000,000 at all times.</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Minimum Net Revenue</w:t>
      </w:r>
      <w:r>
        <w:rPr>
          <w:rFonts w:ascii="Times New Roman" w:hAnsi="Times New Roman"/>
          <w:color w:val="000000"/>
          <w:sz w:val="24"/>
        </w:rPr>
        <w:t>. As of the end of the fiscal quarter ended March 31, 2026, and each fiscal quarter thereafter, the Obligors shall maintain, on a consolidated basis, Net Revenue for the twelve (12) month period most recently ended on such date of not less than the amount set forth in the table below:</w:t>
      </w:r>
    </w:p>
    <w:tbl>
      <w:tblPr>
        <w:tblW w:w="5672" w:type="dxa"/>
        <w:jc w:val="left"/>
        <w:tblInd w:w="0" w:type="dxa"/>
        <w:tblLayout w:type="fixed"/>
        <w:tblCellMar>
          <w:top w:w="28" w:type="dxa"/>
          <w:left w:w="28" w:type="dxa"/>
          <w:bottom w:w="28" w:type="dxa"/>
          <w:right w:w="28" w:type="dxa"/>
        </w:tblCellMar>
      </w:tblPr>
      <w:tblGrid>
        <w:gridCol w:w="3331"/>
        <w:gridCol w:w="2341"/>
      </w:tblGrid>
      <w:tr>
        <w:trPr/>
        <w:tc>
          <w:tcPr>
            <w:tcW w:w="3331" w:type="dxa"/>
            <w:tcBorders/>
            <w:shd w:fill="FFFFFF" w:val="clear"/>
            <w:vAlign w:val="center"/>
          </w:tcPr>
          <w:p>
            <w:pPr>
              <w:pStyle w:val="TableContents"/>
              <w:bidi w:val="0"/>
              <w:spacing w:before="0" w:after="283"/>
              <w:jc w:val="left"/>
              <w:rPr>
                <w:sz w:val="4"/>
                <w:szCs w:val="4"/>
              </w:rPr>
            </w:pPr>
            <w:r>
              <w:rPr>
                <w:sz w:val="4"/>
                <w:szCs w:val="4"/>
              </w:rPr>
            </w:r>
          </w:p>
        </w:tc>
        <w:tc>
          <w:tcPr>
            <w:tcW w:w="2341" w:type="dxa"/>
            <w:tcBorders/>
            <w:shd w:fill="FFFFFF" w:val="clear"/>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smallCaps/>
                <w:color w:val="000000"/>
                <w:sz w:val="24"/>
              </w:rPr>
            </w:pPr>
            <w:r>
              <w:rPr>
                <w:rFonts w:ascii="Times New Roman" w:hAnsi="Times New Roman"/>
                <w:smallCaps/>
                <w:color w:val="000000"/>
                <w:sz w:val="24"/>
              </w:rPr>
              <w:t>Twelve- Month Period Ended</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smallCaps/>
                <w:color w:val="000000"/>
                <w:sz w:val="24"/>
              </w:rPr>
            </w:pPr>
            <w:r>
              <w:rPr>
                <w:rFonts w:ascii="Times New Roman" w:hAnsi="Times New Roman"/>
                <w:smallCaps/>
                <w:color w:val="000000"/>
                <w:sz w:val="24"/>
              </w:rPr>
              <w:t xml:space="preserve">Total Net Revenue </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March 31, 2026</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$68,500,000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June 30, 2026</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$69,000,000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September 30, 2026</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$70,800,000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December 31, 2026</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$73,000,000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March 31, 2027</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$78,000,000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Heading1"/>
        <w:bidi w:val="0"/>
        <w:jc w:val="center"/>
        <w:rPr/>
      </w:pPr>
      <w:r>
        <w:rPr/>
        <w:t> </w:t>
      </w:r>
    </w:p>
    <w:tbl>
      <w:tblPr>
        <w:tblW w:w="5672" w:type="dxa"/>
        <w:jc w:val="left"/>
        <w:tblInd w:w="0" w:type="dxa"/>
        <w:tblLayout w:type="fixed"/>
        <w:tblCellMar>
          <w:top w:w="28" w:type="dxa"/>
          <w:left w:w="28" w:type="dxa"/>
          <w:bottom w:w="28" w:type="dxa"/>
          <w:right w:w="28" w:type="dxa"/>
        </w:tblCellMar>
      </w:tblPr>
      <w:tblGrid>
        <w:gridCol w:w="3331"/>
        <w:gridCol w:w="2341"/>
      </w:tblGrid>
      <w:tr>
        <w:trPr/>
        <w:tc>
          <w:tcPr>
            <w:tcW w:w="3331" w:type="dxa"/>
            <w:tcBorders/>
            <w:shd w:fill="FFFFFF" w:val="clear"/>
            <w:vAlign w:val="center"/>
          </w:tcPr>
          <w:p>
            <w:pPr>
              <w:pStyle w:val="TableContents"/>
              <w:bidi w:val="0"/>
              <w:spacing w:before="0" w:after="283"/>
              <w:jc w:val="left"/>
              <w:rPr>
                <w:sz w:val="4"/>
                <w:szCs w:val="4"/>
              </w:rPr>
            </w:pPr>
            <w:r>
              <w:rPr>
                <w:sz w:val="4"/>
                <w:szCs w:val="4"/>
              </w:rPr>
            </w:r>
          </w:p>
        </w:tc>
        <w:tc>
          <w:tcPr>
            <w:tcW w:w="2341" w:type="dxa"/>
            <w:tcBorders/>
            <w:shd w:fill="FFFFFF" w:val="clear"/>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smallCaps/>
                <w:color w:val="000000"/>
                <w:sz w:val="24"/>
              </w:rPr>
            </w:pPr>
            <w:r>
              <w:rPr>
                <w:rFonts w:ascii="Times New Roman" w:hAnsi="Times New Roman"/>
                <w:smallCaps/>
                <w:color w:val="000000"/>
                <w:sz w:val="24"/>
              </w:rPr>
              <w:t>Twelve- Month Period Ended</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smallCaps/>
                <w:color w:val="000000"/>
                <w:sz w:val="24"/>
              </w:rPr>
            </w:pPr>
            <w:r>
              <w:rPr>
                <w:rFonts w:ascii="Times New Roman" w:hAnsi="Times New Roman"/>
                <w:smallCaps/>
                <w:color w:val="000000"/>
                <w:sz w:val="24"/>
              </w:rPr>
              <w:t xml:space="preserve">Total Net Revenue </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June 30, 2027</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$80,000,000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September 30, 2027</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$86,000,000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December 31, 2027</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$90,000,000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March 31, 2028</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$96,000,000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June 30, 2028</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$102,400,000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September 30, 2028</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$109,200,000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December 31, 2028</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$117,600,000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March 31, 2029</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$126,000,000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June 30, 2029</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$131,300,000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September 30, 2029</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$133,100,000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December 31, 2029</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$135,000,000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March 31, 2030</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$137,000,000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June 30, 2030</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$138,000,000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September 30, 2030</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$139,000,000</w:t>
            </w:r>
          </w:p>
        </w:tc>
      </w:tr>
      <w:tr>
        <w:trPr/>
        <w:tc>
          <w:tcPr>
            <w:tcW w:w="33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December 31, 2030</w:t>
            </w:r>
          </w:p>
        </w:tc>
        <w:tc>
          <w:tcPr>
            <w:tcW w:w="234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$140,000,000</w:t>
            </w:r>
          </w:p>
        </w:tc>
      </w:tr>
    </w:tbl>
    <w:p>
      <w:pPr>
        <w:pStyle w:val="TextBody"/>
        <w:bidi w:val="0"/>
        <w:spacing w:before="120" w:after="283"/>
        <w:jc w:val="both"/>
        <w:rPr>
          <w:rFonts w:ascii="Times New Roman" w:hAnsi="Times New Roman"/>
          <w:sz w:val="20"/>
        </w:rPr>
      </w:pPr>
      <w:r>
        <w:rPr>
          <w:rFonts w:ascii="Times New Roman" w:hAnsi="Times New Roman"/>
          <w:i/>
          <w:color w:val="000000"/>
          <w:sz w:val="24"/>
        </w:rPr>
        <w:t>Section 8.16.</w:t>
      </w:r>
      <w:r>
        <w:rPr>
          <w:rFonts w:ascii="Times New Roman" w:hAnsi="Times New Roman"/>
          <w:color w:val="000000"/>
          <w:sz w:val="20"/>
        </w:rPr>
        <w:t xml:space="preserve"> </w:t>
      </w:r>
      <w:r>
        <w:rPr>
          <w:rFonts w:ascii="Times New Roman" w:hAnsi="Times New Roman"/>
          <w:i/>
          <w:color w:val="000000"/>
          <w:sz w:val="24"/>
        </w:rPr>
        <w:t xml:space="preserve">Maintenance of Regulatory Approvals, Contracts, Intellectual Property, Etc. </w:t>
      </w:r>
      <w:r>
        <w:rPr>
          <w:rFonts w:ascii="Times New Roman" w:hAnsi="Times New Roman"/>
          <w:color w:val="000000"/>
          <w:sz w:val="24"/>
        </w:rPr>
        <w:t>Each Obligor will, and will cause each of its Subsidiaries (to the extent applicable) to:</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maintain in full force and effect all material Regulatory Approvals (including the Product Authorizations), Material Agreements, or other rights necessary for the current operations of such Obligor’s or such Subsidiary’s business, as the case may be, including in respect of all related Product Development and Commercialization Activities;</w:t>
      </w:r>
    </w:p>
    <w:p>
      <w:pPr>
        <w:pStyle w:val="TextBody"/>
        <w:bidi w:val="0"/>
        <w:spacing w:before="16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maintain in full force and effect all Obligor Intellectual Property that, according to such Obligor’s commercially reasonable determination, is used in and necessary for related Product Development and Commercialization Activities; and</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use commercially reasonable efforts to pursue and maintain in full force and effect legal protection for all new Obligor Intellectual Property that is used in and necessary in connection with any Product Development and Commercialization Activities relating to any such Product.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i/>
          <w:color w:val="000000"/>
          <w:sz w:val="24"/>
        </w:rPr>
        <w:t>Section 8.17.</w:t>
      </w:r>
      <w:r>
        <w:rPr>
          <w:rFonts w:ascii="Times New Roman" w:hAnsi="Times New Roman"/>
          <w:color w:val="000000"/>
          <w:sz w:val="20"/>
        </w:rPr>
        <w:t xml:space="preserve"> </w:t>
      </w:r>
      <w:r>
        <w:rPr>
          <w:rFonts w:ascii="Times New Roman" w:hAnsi="Times New Roman"/>
          <w:i/>
          <w:color w:val="000000"/>
          <w:sz w:val="24"/>
        </w:rPr>
        <w:t>Cash Management</w:t>
      </w:r>
      <w:r>
        <w:rPr>
          <w:rFonts w:ascii="Times New Roman" w:hAnsi="Times New Roman"/>
          <w:color w:val="000000"/>
          <w:sz w:val="24"/>
        </w:rPr>
        <w:t>. The Obligors will:</w:t>
      </w:r>
    </w:p>
    <w:p>
      <w:pPr>
        <w:pStyle w:val="TextBody"/>
        <w:bidi w:val="0"/>
        <w:spacing w:before="16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rFonts w:ascii="Times New Roman" w:hAnsi="Times New Roman"/>
          <w:color w:val="000000"/>
          <w:sz w:val="20"/>
        </w:rPr>
        <w:t>“</w:t>
      </w:r>
      <w:r>
        <w:rPr>
          <w:rFonts w:ascii="Times New Roman" w:hAnsi="Times New Roman"/>
          <w:i/>
          <w:color w:val="000000"/>
          <w:sz w:val="24"/>
        </w:rPr>
        <w:t>Controlled Account”</w:t>
      </w:r>
      <w:r>
        <w:rPr>
          <w:rFonts w:ascii="Times New Roman" w:hAnsi="Times New Roman"/>
          <w:color w:val="000000"/>
          <w:sz w:val="24"/>
        </w:rPr>
        <w:t>); and</w:t>
      </w:r>
    </w:p>
    <w:p>
      <w:pPr>
        <w:pStyle w:val="TextBody"/>
        <w:bidi w:val="0"/>
        <w:spacing w:before="16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deposit promptly, and in any event no later than five (5) Business Days after the date of receipt thereof, all cash, checks, drafts or other similar items of payment relating to or constituting payments made in respect of any and all accounts and other rights and interests into Controlled Accounts.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4"/>
        </w:rPr>
        <w:t>Section 8.18.</w:t>
      </w:r>
      <w:r>
        <w:rPr>
          <w:rFonts w:ascii="Times New Roman" w:hAnsi="Times New Roman"/>
          <w:color w:val="000000"/>
          <w:sz w:val="20"/>
        </w:rPr>
        <w:t xml:space="preserve"> </w:t>
      </w:r>
      <w:r>
        <w:rPr>
          <w:rFonts w:ascii="Times New Roman" w:hAnsi="Times New Roman"/>
          <w:i/>
          <w:color w:val="000000"/>
          <w:sz w:val="24"/>
        </w:rPr>
        <w:t>Post-Closing Obligations</w:t>
      </w:r>
      <w:r>
        <w:rPr>
          <w:rFonts w:ascii="Times New Roman" w:hAnsi="Times New Roman"/>
          <w:color w:val="000000"/>
          <w:sz w:val="24"/>
        </w:rPr>
        <w:t>. The Obligors will provide the items set forth in Schedule 8.18 within the time periods set forth therein.</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4"/>
        </w:rPr>
        <w:t>Section 8.19.</w:t>
      </w:r>
      <w:r>
        <w:rPr>
          <w:rFonts w:ascii="Times New Roman" w:hAnsi="Times New Roman"/>
          <w:color w:val="000000"/>
          <w:sz w:val="20"/>
        </w:rPr>
        <w:t xml:space="preserve"> </w:t>
      </w:r>
      <w:r>
        <w:rPr>
          <w:rFonts w:ascii="Times New Roman" w:hAnsi="Times New Roman"/>
          <w:i/>
          <w:color w:val="000000"/>
          <w:sz w:val="24"/>
        </w:rPr>
        <w:t>Warrant Certificate</w:t>
      </w:r>
      <w:r>
        <w:rPr>
          <w:rFonts w:ascii="Times New Roman" w:hAnsi="Times New Roman"/>
          <w:color w:val="000000"/>
          <w:sz w:val="24"/>
        </w:rPr>
        <w:t>. The Borrower will use its reasonable best efforts to receive approval of its shareholders, and otherwise comply with applicable ASX Listing Rules, to issue the Warrant Certificate to the Administrative Agent on or before September 30, 2026. In the event that the Warrant Certificate is not issued on or before September 30, 2026, then the Exit Fee shall be payable pursuant to the terms of the Fee Letter and the Borrower will receive approval of its shareholders, and otherwise comply with applicable ASX Listing Rules, to issue the Warrant Certificate to the Administrative Agent on or before November 30, 2026, the failure of which shall result in an Event of Default pursuant to Section 10.01(d). For the avoidance of doubt, the Borrower’s obligation to issue the Warrant Certificate to the Administrative Agent is conditional on the Borrower’s shareholders approving the issuance under ASX Listing Rule 7.1 before the issuance is made. Where the ASX requires any amendments to the Warrant Certificate, the Borrower and the Administrative Agent agree to effect and execute those changes in order for the Warrant Certificate to be issued.</w:t>
      </w:r>
    </w:p>
    <w:p>
      <w:pPr>
        <w:pStyle w:val="TextBody"/>
        <w:bidi w:val="0"/>
        <w:spacing w:before="200" w:after="283"/>
        <w:jc w:val="center"/>
        <w:rPr>
          <w:rFonts w:ascii="Times New Roman" w:hAnsi="Times New Roman"/>
          <w:b/>
          <w:smallCaps/>
          <w:color w:val="000000"/>
          <w:sz w:val="24"/>
        </w:rPr>
      </w:pPr>
      <w:r>
        <w:rPr>
          <w:rFonts w:ascii="Times New Roman" w:hAnsi="Times New Roman"/>
          <w:b/>
          <w:smallCaps/>
          <w:color w:val="000000"/>
          <w:sz w:val="24"/>
        </w:rPr>
        <w:t>Article 9</w:t>
        <w:br/>
        <w:br/>
        <w:t>Negative Covenants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covenants and agrees with the Administrative Agent and the Lenders that, until the Commitments have expired or been terminated and all Obligations (other than the Warrant Obligations and inchoate indemnity obligations) have been paid in full in cash:</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9.01.</w:t>
      </w:r>
      <w:r>
        <w:rPr>
          <w:rFonts w:ascii="Times New Roman" w:hAnsi="Times New Roman"/>
          <w:color w:val="000000"/>
          <w:sz w:val="20"/>
        </w:rPr>
        <w:t xml:space="preserve"> </w:t>
      </w:r>
      <w:r>
        <w:rPr>
          <w:rFonts w:ascii="Times New Roman" w:hAnsi="Times New Roman"/>
          <w:i/>
          <w:color w:val="000000"/>
          <w:sz w:val="24"/>
        </w:rPr>
        <w:t>Indebtedness.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create, incur, assume or permit to exist any Indebtedness, whether directly or indirectly, except: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 Obligations;</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Indebtedness existing on the date hereof and set forth in Schedule 9.01(b) and Permitted Refinancings thereof;</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accounts payable to trade creditors for goods and services and current operating liabilities (not the result of the borrowing of money) incurred in the Ordinary Course of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Indebtedness consisting of guarantees resulting from endorsement of negotiable instruments for collection by an Obligor or any of its Subsidiaries in the Ordinary Course of Business;</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unsecured Indebtedness of an Obligor to any other Obligor;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such Indebtedness is pledged to the Administrative Agent for the benefit of the Lenders under the Security Agreement and otherwise subordinate in right of payment to the Obligations on terms satisfactory to the Administrative Agent in its sole discretion;</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Guarantees by any Obligor of Indebtedness of any other Obligor;</w:t>
      </w:r>
    </w:p>
    <w:p>
      <w:pPr>
        <w:pStyle w:val="TextBody"/>
        <w:bidi w:val="0"/>
        <w:spacing w:before="28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 xml:space="preserve">Purchase money Indebtedness and Capital Lease Obligations; </w:t>
      </w:r>
      <w:r>
        <w:rPr>
          <w:rFonts w:ascii="Times New Roman" w:hAnsi="Times New Roman"/>
          <w:i/>
          <w:color w:val="000000"/>
          <w:sz w:val="24"/>
        </w:rPr>
        <w:t xml:space="preserve">provided </w:t>
      </w:r>
      <w:r>
        <w:rPr>
          <w:rFonts w:ascii="Times New Roman" w:hAnsi="Times New Roman"/>
          <w:color w:val="000000"/>
          <w:sz w:val="24"/>
        </w:rPr>
        <w:t>that (i) if secured, the collateral therefor consists solely of the assets being financed, the products and proceeds thereof and books and records related thereto, (ii) in the case of purchase money Indebtedness, such Indebtedness shall not constitute less than 75% of the aggregate consideration paid with respect to such asset and (iii) the aggregate outstanding principal amount of such Indebtedness does not exceed $250,000 at any time;</w:t>
      </w:r>
    </w:p>
    <w:p>
      <w:pPr>
        <w:pStyle w:val="TextBody"/>
        <w:bidi w:val="0"/>
        <w:spacing w:before="28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unsecured workers’ compensation Claims, payment obligations in connection with health, disability or other types of social security benefits, unemployment or other insurance obligations, reclamation and statutory obligations, in each case incurred in the Ordinary Course of Business;</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Indebtedness approved in advance in writing by the Majority Lenders; and</w:t>
      </w:r>
    </w:p>
    <w:p>
      <w:pPr>
        <w:pStyle w:val="TextBody"/>
        <w:bidi w:val="0"/>
        <w:spacing w:before="280" w:after="283"/>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Indebtedness of the Borrower and its Subsidiaries with respect to corporate credit cards not to exceed $250,000 at any time outstanding.</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9.02.</w:t>
      </w:r>
      <w:r>
        <w:rPr>
          <w:rFonts w:ascii="Times New Roman" w:hAnsi="Times New Roman"/>
          <w:color w:val="000000"/>
          <w:sz w:val="20"/>
        </w:rPr>
        <w:t xml:space="preserve"> </w:t>
      </w:r>
      <w:r>
        <w:rPr>
          <w:rFonts w:ascii="Times New Roman" w:hAnsi="Times New Roman"/>
          <w:i/>
          <w:color w:val="000000"/>
          <w:sz w:val="24"/>
        </w:rPr>
        <w:t>Liens.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create, incur, assume or permit to exist any Lien on any Property now owned by it, except: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Liens securing the Obligations;</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any Lien on any Property of any Obligor existing on the date hereof and set forth in Schedule 9.02(b);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 no such Lien shall extend to any other Property of such Obligor and (ii) any such Lien shall secure only those obligations which it secures on the date hereof and extensions, renewals and replacements thereof that do not increase the outstanding principal amount thereof;</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Liens securing Indebtedness permitted under Section 9.01(g);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Liens are restricted solely to the collateral described in Section 9.01(g);</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have the effect of preventing the forfeiture or sale of the Property subject to such Liens and for which adequate reserves have been made if required substantially in accordance with GAAP;</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Liens, pledges or deposits made in the Ordinary Course of Business in connection with bids, Contracts, leases, appeal bonds, workers’ compensation, unemployment insurance or other similar social security legislation;</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pStyle w:val="TextBody"/>
        <w:bidi w:val="0"/>
        <w:spacing w:before="28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such Obligor or Subsidiary;</w:t>
      </w:r>
    </w:p>
    <w:p>
      <w:pPr>
        <w:pStyle w:val="TextBody"/>
        <w:bidi w:val="0"/>
        <w:spacing w:before="28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bankers’ Liens, rights of setoff and similar Liens incurred in the Ordinary Course of Business and arising in connection with the Obligors’ Deposit Accounts or Securities Accounts held at financial institutions solely to secure payment of fees and similar costs and expenses of such financial institutions with respect to such accounts;</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Liens in connection with transfers permitted under Section 9.09;</w:t>
      </w:r>
    </w:p>
    <w:p>
      <w:pPr>
        <w:pStyle w:val="TextBody"/>
        <w:bidi w:val="0"/>
        <w:spacing w:before="280" w:after="283"/>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any judgment Lien or Lien arising from decrees or attachments not constituting an Event of Default;</w:t>
      </w:r>
    </w:p>
    <w:p>
      <w:pPr>
        <w:pStyle w:val="TextBody"/>
        <w:bidi w:val="0"/>
        <w:spacing w:before="280" w:after="283"/>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leases or subleases of real property granted in the Ordinary Course of Business, and leases, subleases, nonexclusive licenses or sublicenses of personal property (other than Intellectual Property) granted in the Ordinary Course of Business;</w:t>
      </w:r>
    </w:p>
    <w:p>
      <w:pPr>
        <w:pStyle w:val="TextBody"/>
        <w:bidi w:val="0"/>
        <w:spacing w:before="280" w:after="283"/>
        <w:jc w:val="both"/>
        <w:rPr>
          <w:rFonts w:ascii="Times New Roman" w:hAnsi="Times New Roman"/>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Liens in favor of customs and revenue authorities arising as a matter of law to secure the payment of custom duties in connection with the importation of goods, not securing an amount in the aggregate in excess of $100,000 at any given time;</w:t>
      </w:r>
    </w:p>
    <w:p>
      <w:pPr>
        <w:pStyle w:val="TextBody"/>
        <w:bidi w:val="0"/>
        <w:spacing w:before="280" w:after="283"/>
        <w:jc w:val="both"/>
        <w:rPr>
          <w:rFonts w:ascii="Times New Roman" w:hAnsi="Times New Roman"/>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4"/>
        </w:rPr>
        <w:t>Liens on a Deposit Account of the Obligors and the cash and cash equivalents therein, in each case, securing Indebtedness described in Section 9.01(l); and</w:t>
      </w:r>
    </w:p>
    <w:p>
      <w:pPr>
        <w:pStyle w:val="TextBody"/>
        <w:bidi w:val="0"/>
        <w:spacing w:before="280" w:after="283"/>
        <w:jc w:val="both"/>
        <w:rPr>
          <w:rFonts w:ascii="Times New Roman" w:hAnsi="Times New Roman"/>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color w:val="000000"/>
          <w:sz w:val="24"/>
        </w:rPr>
        <w:t>Permitted Licenses solely to the extent that such Permitted License would constitute a Lien;</w:t>
      </w:r>
    </w:p>
    <w:p>
      <w:pPr>
        <w:pStyle w:val="TextBody"/>
        <w:bidi w:val="0"/>
        <w:spacing w:before="280" w:after="283"/>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Lien otherwise permitted under any of the foregoing Section 9.02 (excluding Section 9.02(a)) shall apply to any Material Intellectual Property.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9.03.</w:t>
      </w:r>
      <w:r>
        <w:rPr>
          <w:rFonts w:ascii="Times New Roman" w:hAnsi="Times New Roman"/>
          <w:color w:val="000000"/>
          <w:sz w:val="20"/>
        </w:rPr>
        <w:t xml:space="preserve"> </w:t>
      </w:r>
      <w:r>
        <w:rPr>
          <w:rFonts w:ascii="Times New Roman" w:hAnsi="Times New Roman"/>
          <w:i/>
          <w:color w:val="000000"/>
          <w:sz w:val="24"/>
        </w:rPr>
        <w:t>Fundamental Changes and Acquisitions.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enter into or consummate any transaction of merger, amalgamation, plan of arrangement or consolidation, including without limitation, a reverse</w:t>
        <w:noBreakHyphen/>
        <w:t>triangular merger, or other similar transaction or series of related transactions;</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liquidate, wind up or dissolve itself (or suffer any liquidation, wind up or dissolution) (including in connection with any division or plan of division under Delaware law or any comparable event under a different jurisdiction’s laws); or</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make or consummate any Acquisition or sell or issue any Disqualified Equity Interests, except, in each case:</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Investments permitted under Section 9.05;</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Permitted Acquisitions for (i) aggregate cash consideration not to exceed $1,000,000 and (ii) total consideration not to exceed $2,000,000, in each case, for the term of this Agreement;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the merger, amalgamation or consolidation of any Obligor with or into any other Obligor,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the Borrower is a party to such merger, amalgamation or consolidation, the Borrower shall be the surviving entity; and</w:t>
      </w:r>
    </w:p>
    <w:p>
      <w:pPr>
        <w:pStyle w:val="TextBody"/>
        <w:bidi w:val="0"/>
        <w:spacing w:before="28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Asset Sales permitted under Section 9.09.</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9.04.</w:t>
      </w:r>
      <w:r>
        <w:rPr>
          <w:rFonts w:ascii="Times New Roman" w:hAnsi="Times New Roman"/>
          <w:color w:val="000000"/>
          <w:sz w:val="20"/>
        </w:rPr>
        <w:t xml:space="preserve"> </w:t>
      </w:r>
      <w:r>
        <w:rPr>
          <w:rFonts w:ascii="Times New Roman" w:hAnsi="Times New Roman"/>
          <w:i/>
          <w:color w:val="000000"/>
          <w:sz w:val="24"/>
        </w:rPr>
        <w:t>Lines of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Each Obligor will not, and will not permit any of its Subsidiaries to, engage to any material extent in any business other than the business engaged in on the date hereof by such Person, or a business reasonably related, incidental or complementary thereto or reasonable extensions thereof.</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Borrower shall not have any material liabilities (other than liabilities to other Obligors and liabilities arising under the Loan Documents), own any material assets (other than Investments in its Subsidiaries) or engage in any material operations or business (other than the ownership of its Subsidiaries, exercising its rights and performing its obligations under (i) the Loan Documents, (ii) its obligations to the other Obligors and (iii) Investments in Subsidiaries and activities reasonably incident to (i), (ii) and (iii)).</w:t>
      </w:r>
    </w:p>
    <w:p>
      <w:pPr>
        <w:pStyle w:val="TextBody"/>
        <w:bidi w:val="0"/>
        <w:spacing w:before="200" w:after="283"/>
        <w:jc w:val="both"/>
        <w:rPr>
          <w:rFonts w:ascii="Times New Roman" w:hAnsi="Times New Roman"/>
          <w:sz w:val="20"/>
        </w:rPr>
      </w:pPr>
      <w:r>
        <w:rPr>
          <w:rFonts w:ascii="Times New Roman" w:hAnsi="Times New Roman"/>
          <w:i/>
          <w:color w:val="000000"/>
          <w:sz w:val="24"/>
        </w:rPr>
        <w:t>Section 9.05.</w:t>
      </w:r>
      <w:r>
        <w:rPr>
          <w:rFonts w:ascii="Times New Roman" w:hAnsi="Times New Roman"/>
          <w:color w:val="000000"/>
          <w:sz w:val="20"/>
        </w:rPr>
        <w:t xml:space="preserve"> </w:t>
      </w:r>
      <w:r>
        <w:rPr>
          <w:rFonts w:ascii="Times New Roman" w:hAnsi="Times New Roman"/>
          <w:i/>
          <w:color w:val="000000"/>
          <w:sz w:val="24"/>
        </w:rPr>
        <w:t>Investments.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make, directly or indirectly, or permit to remain outstanding any Investments except:</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Investments outstanding on the date hereof and identified in Schedule 9.05 and any modification, replacement, renewal or extension thereof to the extent not involving new or additional Investments;</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operating Deposit Accounts with banks;</w:t>
      </w:r>
    </w:p>
    <w:p>
      <w:pPr>
        <w:pStyle w:val="TextBody"/>
        <w:bidi w:val="0"/>
        <w:spacing w:before="20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extensions of credit in the nature of accounts receivable or notes receivable arising from the sales of goods or services in the Ordinary Course of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Permitted Cash Equivalent Investments;</w:t>
      </w:r>
    </w:p>
    <w:p>
      <w:pPr>
        <w:pStyle w:val="TextBody"/>
        <w:bidi w:val="0"/>
        <w:spacing w:before="20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(i) Investments consisting of 100% of the ownership of the Equity Interests of its Subsidiaries, (ii) intercompany Investments by any Obligor in any other Obligor or (iii) Investments by an Obligor and its Subsidiaries or any Subsidiary acquired in connection with a Permitted Acquisition;</w:t>
      </w:r>
    </w:p>
    <w:p>
      <w:pPr>
        <w:pStyle w:val="TextBody"/>
        <w:bidi w:val="0"/>
        <w:spacing w:before="20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pStyle w:val="TextBody"/>
        <w:bidi w:val="0"/>
        <w:spacing w:before="20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Investments received in connection with any Insolvency Proceedings in respect of any customers, suppliers or clients and in settlement of delinquent obligations of, and other disputes with, customers, suppliers or clients;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Investments permitted under Section 9.01(e) and Section 9.03;</w:t>
      </w:r>
    </w:p>
    <w:p>
      <w:pPr>
        <w:pStyle w:val="TextBody"/>
        <w:bidi w:val="0"/>
        <w:spacing w:before="20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Investments consisting of notes receivable of, or prepaid royalties and other credit extensions, to customers and suppliers who are not Affiliates, in the Ordinary Course of Business;</w:t>
      </w:r>
    </w:p>
    <w:p>
      <w:pPr>
        <w:pStyle w:val="TextBody"/>
        <w:bidi w:val="0"/>
        <w:spacing w:before="200" w:after="283"/>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in an aggregate amount not to exceed $250,000 for subclauses (i) and (ii) in any fiscal year; and</w:t>
      </w:r>
    </w:p>
    <w:p>
      <w:pPr>
        <w:pStyle w:val="TextBody"/>
        <w:bidi w:val="0"/>
        <w:spacing w:before="200" w:after="283"/>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so long as no Default or Event of Default shall have occurred and is continuing at the time of such Investment, or after giving effect thereto, other Investments in an amount not to exceed $100,000 in any fiscal year.</w:t>
      </w:r>
    </w:p>
    <w:p>
      <w:pPr>
        <w:pStyle w:val="TextBody"/>
        <w:bidi w:val="0"/>
        <w:spacing w:before="200" w:after="283"/>
        <w:jc w:val="both"/>
        <w:rPr>
          <w:rFonts w:ascii="Times New Roman" w:hAnsi="Times New Roman"/>
          <w:sz w:val="20"/>
        </w:rPr>
      </w:pPr>
      <w:r>
        <w:rPr>
          <w:rFonts w:ascii="Times New Roman" w:hAnsi="Times New Roman"/>
          <w:i/>
          <w:color w:val="000000"/>
          <w:sz w:val="24"/>
        </w:rPr>
        <w:t>Section 9.06.</w:t>
      </w:r>
      <w:r>
        <w:rPr>
          <w:rFonts w:ascii="Times New Roman" w:hAnsi="Times New Roman"/>
          <w:color w:val="000000"/>
          <w:sz w:val="20"/>
        </w:rPr>
        <w:t xml:space="preserve"> </w:t>
      </w:r>
      <w:r>
        <w:rPr>
          <w:rFonts w:ascii="Times New Roman" w:hAnsi="Times New Roman"/>
          <w:i/>
          <w:color w:val="000000"/>
          <w:sz w:val="24"/>
        </w:rPr>
        <w:t>Restricted Payments.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declare or make, or agree to pay or make, directly or indirectly, any Restricted Payment, other than:</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dividends, stock splits or distributions with respect to any Equity Interests of the Borrower or any of its Subsidiaries payable solely in additional shares of its Qualified Equity Interests;</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 Restricted Payment by an Obligor or a Subsidiary of an Obligor to an Obligor;</w:t>
      </w:r>
    </w:p>
    <w:p>
      <w:pPr>
        <w:pStyle w:val="TextBody"/>
        <w:bidi w:val="0"/>
        <w:spacing w:before="20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any purchase, redemption, retirement, or other Acquisition by the Borrower or any of its Subsidiaries of shares of its capital stock or other Equity Interests with the proceeds received from a substantially concurrent issue of new shares of its capital stock or other Equity Interests;</w:t>
      </w:r>
    </w:p>
    <w:p>
      <w:pPr>
        <w:pStyle w:val="TextBody"/>
        <w:bidi w:val="0"/>
        <w:spacing w:before="20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cashless exercises of options and warrants;</w:t>
      </w:r>
    </w:p>
    <w:p>
      <w:pPr>
        <w:pStyle w:val="TextBody"/>
        <w:bidi w:val="0"/>
        <w:spacing w:before="20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repurchases pursuant to the terms of employee stock purchase plans, employee restricted stock agreements, stockholder rights plans, director or consultant stock option plans, or similar plans in an aggregate amount not to exceed $100,000 in any fiscal year;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the making of cash payments in lieu of the issuance of fractional shares upon the conversion of convertible securities (or in connection with the exercise of warrants or similar securities) not to exceed $25,000 in any fiscal year; and</w:t>
      </w:r>
    </w:p>
    <w:p>
      <w:pPr>
        <w:pStyle w:val="TextBody"/>
        <w:bidi w:val="0"/>
        <w:spacing w:before="20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the issuance of the Warrant Certificate.</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4"/>
        </w:rPr>
        <w:t>Section 9.07.</w:t>
      </w:r>
      <w:r>
        <w:rPr>
          <w:rFonts w:ascii="Times New Roman" w:hAnsi="Times New Roman"/>
          <w:color w:val="000000"/>
          <w:sz w:val="20"/>
        </w:rPr>
        <w:t xml:space="preserve"> </w:t>
      </w:r>
      <w:r>
        <w:rPr>
          <w:rFonts w:ascii="Times New Roman" w:hAnsi="Times New Roman"/>
          <w:i/>
          <w:color w:val="000000"/>
          <w:sz w:val="24"/>
        </w:rPr>
        <w:t>Payments of Indebtedness.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make any payments in respect of any Material Indebtedness other than (a) payments of the Obligations and (b) so long as no Default has occurred and is continuing, or would result therefrom, scheduled payments of other Permitted Indebtedness and repayment of intercompany Indebtedness permitted in reliance upon Section 9.01(e) (subject in each case to any subordination agreement entered into in connection therewith).</w:t>
      </w:r>
    </w:p>
    <w:p>
      <w:pPr>
        <w:pStyle w:val="TextBody"/>
        <w:bidi w:val="0"/>
        <w:spacing w:before="200" w:after="283"/>
        <w:jc w:val="both"/>
        <w:rPr>
          <w:rFonts w:ascii="Times New Roman" w:hAnsi="Times New Roman"/>
          <w:sz w:val="20"/>
        </w:rPr>
      </w:pPr>
      <w:r>
        <w:rPr>
          <w:rFonts w:ascii="Times New Roman" w:hAnsi="Times New Roman"/>
          <w:i/>
          <w:color w:val="000000"/>
          <w:sz w:val="24"/>
        </w:rPr>
        <w:t>Section 9.08.</w:t>
      </w:r>
      <w:r>
        <w:rPr>
          <w:rFonts w:ascii="Times New Roman" w:hAnsi="Times New Roman"/>
          <w:color w:val="000000"/>
          <w:sz w:val="20"/>
        </w:rPr>
        <w:t xml:space="preserve"> </w:t>
      </w:r>
      <w:r>
        <w:rPr>
          <w:rFonts w:ascii="Times New Roman" w:hAnsi="Times New Roman"/>
          <w:i/>
          <w:color w:val="000000"/>
          <w:sz w:val="24"/>
        </w:rPr>
        <w:t>Change in Fiscal Year.</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change the last day of its fiscal year from that in effect on the date hereof, without prior written notice to the Administrative Agent, except to change the fiscal year of a Subsidiary acquired in connection with a Permitted Acquisition to conform its fiscal year to that of the Borrower.</w:t>
      </w:r>
    </w:p>
    <w:p>
      <w:pPr>
        <w:pStyle w:val="TextBody"/>
        <w:bidi w:val="0"/>
        <w:spacing w:before="200" w:after="283"/>
        <w:jc w:val="both"/>
        <w:rPr>
          <w:rFonts w:ascii="Times New Roman" w:hAnsi="Times New Roman"/>
          <w:sz w:val="20"/>
        </w:rPr>
      </w:pPr>
      <w:r>
        <w:rPr>
          <w:rFonts w:ascii="Times New Roman" w:hAnsi="Times New Roman"/>
          <w:i/>
          <w:color w:val="000000"/>
          <w:sz w:val="24"/>
        </w:rPr>
        <w:t>Section 9.09.</w:t>
      </w:r>
      <w:r>
        <w:rPr>
          <w:rFonts w:ascii="Times New Roman" w:hAnsi="Times New Roman"/>
          <w:color w:val="000000"/>
          <w:sz w:val="20"/>
        </w:rPr>
        <w:t xml:space="preserve"> </w:t>
      </w:r>
      <w:r>
        <w:rPr>
          <w:rFonts w:ascii="Times New Roman" w:hAnsi="Times New Roman"/>
          <w:i/>
          <w:color w:val="000000"/>
          <w:sz w:val="24"/>
        </w:rPr>
        <w:t>Sales of Assets, Etc.</w:t>
      </w:r>
      <w:r>
        <w:rPr>
          <w:rFonts w:ascii="Times New Roman" w:hAnsi="Times New Roman"/>
          <w:color w:val="000000"/>
          <w:sz w:val="20"/>
        </w:rPr>
        <w:t xml:space="preserve"> </w:t>
      </w:r>
      <w:r>
        <w:rPr>
          <w:rFonts w:ascii="Times New Roman" w:hAnsi="Times New Roman"/>
          <w:color w:val="000000"/>
          <w:sz w:val="24"/>
        </w:rPr>
        <w:t xml:space="preserve">It will not, and will not permit any of its Subsidiaries to, sell, lease, exclusively license (in terms of geography 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or forgive, release or compromise any amount owed to an Obligor or any of its Subsidiaries, in each case, in one transaction or series of transactions (any thereof, an </w:t>
      </w:r>
      <w:r>
        <w:rPr>
          <w:rFonts w:ascii="Times New Roman" w:hAnsi="Times New Roman"/>
          <w:color w:val="000000"/>
          <w:sz w:val="20"/>
        </w:rPr>
        <w:t>“</w:t>
      </w:r>
      <w:r>
        <w:rPr>
          <w:rFonts w:ascii="Times New Roman" w:hAnsi="Times New Roman"/>
          <w:i/>
          <w:color w:val="000000"/>
          <w:sz w:val="24"/>
        </w:rPr>
        <w:t>Asset Sale”</w:t>
      </w:r>
      <w:r>
        <w:rPr>
          <w:rFonts w:ascii="Times New Roman" w:hAnsi="Times New Roman"/>
          <w:color w:val="000000"/>
          <w:sz w:val="24"/>
        </w:rPr>
        <w:t>), except:</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transfers of cash in the Ordinary Course of Business for equivalent value;</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sales or leases of products and services in the Ordinary Course of Business on ordinary business terms;</w:t>
      </w:r>
    </w:p>
    <w:p>
      <w:pPr>
        <w:pStyle w:val="TextBody"/>
        <w:bidi w:val="0"/>
        <w:spacing w:before="20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forgiveness, release or compromise of any amount owed to any Obligor in the Ordinary Course of Business;</w:t>
      </w:r>
    </w:p>
    <w:p>
      <w:pPr>
        <w:pStyle w:val="TextBody"/>
        <w:bidi w:val="0"/>
        <w:spacing w:before="20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entering into, or becoming bound, by a Permitted License to the extent not otherwise prohibited by this Agreement;</w:t>
      </w:r>
    </w:p>
    <w:p>
      <w:pPr>
        <w:pStyle w:val="TextBody"/>
        <w:bidi w:val="0"/>
        <w:spacing w:before="20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research, development and other collaborative arrangements where such arrangements provide for the license or disclosure of Patents, Trademarks, Copyrights or other Intellectual Property rights of any Obligor in the Ordinary Course of Business and consistent with general market practices;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 such licenses must be true licenses that do not result in a legal transfer of title of the licensed Property or otherwise constitute sales transactions in substance, and (ii) the aggregate amount of such periodic payments to the Obligors in any fiscal year shall not exceed $250,000;</w:t>
      </w:r>
    </w:p>
    <w:p>
      <w:pPr>
        <w:pStyle w:val="TextBody"/>
        <w:bidi w:val="0"/>
        <w:spacing w:before="20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w:t>
      </w:r>
    </w:p>
    <w:p>
      <w:pPr>
        <w:pStyle w:val="TextBody"/>
        <w:bidi w:val="0"/>
        <w:spacing w:before="20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dispositions resulting from Casualty Events;</w:t>
      </w:r>
    </w:p>
    <w:p>
      <w:pPr>
        <w:pStyle w:val="TextBody"/>
        <w:bidi w:val="0"/>
        <w:spacing w:before="20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any transaction permitted under Section 9.02, 9.03, 9.05 and 9.20; and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so long as no Default or Event of Default shall have occurred and is continuing at the time of such Asset Sale, or after giving effect thereto, Asset Sales of other property not to exceed $100,000 in the aggregate per fiscal year.</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9.10.</w:t>
      </w:r>
      <w:r>
        <w:rPr>
          <w:rFonts w:ascii="Times New Roman" w:hAnsi="Times New Roman"/>
          <w:color w:val="000000"/>
          <w:sz w:val="20"/>
        </w:rPr>
        <w:t xml:space="preserve"> </w:t>
      </w:r>
      <w:r>
        <w:rPr>
          <w:rFonts w:ascii="Times New Roman" w:hAnsi="Times New Roman"/>
          <w:i/>
          <w:color w:val="000000"/>
          <w:sz w:val="24"/>
        </w:rPr>
        <w:t>Transactions with Affiliates.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sell, lease, license or otherwise transfer any assets to, or purchase, lease, license or otherwise acquire any assets from, or otherwise engage in any other transactions with, any of its Affiliates, except:</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transactions between or among the Obligors;</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 transaction permitted under Section 9.01, 9.05, 9.06 or 9.09;</w:t>
      </w:r>
    </w:p>
    <w:p>
      <w:pPr>
        <w:pStyle w:val="TextBody"/>
        <w:bidi w:val="0"/>
        <w:spacing w:before="20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customary compensation and indemnification of, and other employment arrangements with, directors, officers and employees of any Obligor in the Ordinary Course of Business;</w:t>
      </w:r>
    </w:p>
    <w:p>
      <w:pPr>
        <w:pStyle w:val="TextBody"/>
        <w:bidi w:val="0"/>
        <w:spacing w:before="20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transactions upon fair and reasonable terms that are no less favorable to any Obligor than would be obtained in a comparable arm’s</w:t>
        <w:noBreakHyphen/>
        <w:t>length transaction with a Person not an Affiliate; and</w:t>
      </w:r>
    </w:p>
    <w:p>
      <w:pPr>
        <w:pStyle w:val="TextBody"/>
        <w:bidi w:val="0"/>
        <w:spacing w:before="20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the transactions set forth on Schedule 9.10.</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9.11.</w:t>
      </w:r>
      <w:r>
        <w:rPr>
          <w:rFonts w:ascii="Times New Roman" w:hAnsi="Times New Roman"/>
          <w:color w:val="000000"/>
          <w:sz w:val="20"/>
        </w:rPr>
        <w:t xml:space="preserve"> </w:t>
      </w:r>
      <w:r>
        <w:rPr>
          <w:rFonts w:ascii="Times New Roman" w:hAnsi="Times New Roman"/>
          <w:i/>
          <w:color w:val="000000"/>
          <w:sz w:val="24"/>
        </w:rPr>
        <w:t>Restrictive Agreements.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directly or indirectly, enter into, incur or permit to exist any Restrictive Agreement other than (a) restrictions and conditions imposed by Law or by the Loan Documents, (b) Restrictive Agreements listed on Schedule 7.15, (c) any stockholder agreement, investor rights agreement, charter, bylaws or other Organizational Documents of an Obligor as in effect on the date hereof or (d) limitations associated with Permitted Liens or with any transaction permitted under Sections 9.01, 9.03, 9.05, 9.06 or 9.09.</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9.12.</w:t>
      </w:r>
      <w:r>
        <w:rPr>
          <w:rFonts w:ascii="Times New Roman" w:hAnsi="Times New Roman"/>
          <w:color w:val="000000"/>
          <w:sz w:val="20"/>
        </w:rPr>
        <w:t xml:space="preserve"> </w:t>
      </w:r>
      <w:r>
        <w:rPr>
          <w:rFonts w:ascii="Times New Roman" w:hAnsi="Times New Roman"/>
          <w:i/>
          <w:color w:val="000000"/>
          <w:sz w:val="24"/>
        </w:rPr>
        <w:t>Organizational Documents, Material Agreements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enter into any amendment to or modification of any Organizational Document, without the prior written consent of the Administrative Agent, except for such amendments or modifications (i) that are required by any Requirement of Law or (ii) which are not individually or in the aggregate materially adverse to the interests of Administrative Agent or any Lender, in their capacities as such.</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(i) enter into any waiver, amendment or modification of any Material Agreement (including, but not limited to, any amendments to provisions relating to pricing and term) that would be reasonably expected to individually or in the aggregate, be materially adverse to the interests of Administrative Agent or any Lender, in their capacities as such or give rise to a Material Adverse Effect or (ii) take or omit to take any action that results in the termination of, or permits any other Person to terminate, any Material Agreement or Material Intellectual Property that would be reasonably expected to individually or in the aggregate, be materially adverse to the interests of Administrative Agent or any Lender, in their capacities as such, without, in each case, the prior written consent of the Administrative Agent.</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9.13.</w:t>
      </w:r>
      <w:r>
        <w:rPr>
          <w:rFonts w:ascii="Times New Roman" w:hAnsi="Times New Roman"/>
          <w:color w:val="000000"/>
          <w:sz w:val="20"/>
        </w:rPr>
        <w:t xml:space="preserve"> </w:t>
      </w:r>
      <w:r>
        <w:rPr>
          <w:rFonts w:ascii="Times New Roman" w:hAnsi="Times New Roman"/>
          <w:i/>
          <w:color w:val="000000"/>
          <w:sz w:val="24"/>
        </w:rPr>
        <w:t>[Reserved].</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9.14.</w:t>
      </w:r>
      <w:r>
        <w:rPr>
          <w:rFonts w:ascii="Times New Roman" w:hAnsi="Times New Roman"/>
          <w:color w:val="000000"/>
          <w:sz w:val="20"/>
        </w:rPr>
        <w:t xml:space="preserve"> </w:t>
      </w:r>
      <w:r>
        <w:rPr>
          <w:rFonts w:ascii="Times New Roman" w:hAnsi="Times New Roman"/>
          <w:i/>
          <w:color w:val="000000"/>
          <w:sz w:val="24"/>
        </w:rPr>
        <w:t>Sales and Leasebacks.</w:t>
      </w:r>
      <w:r>
        <w:rPr>
          <w:rFonts w:ascii="Times New Roman" w:hAnsi="Times New Roman"/>
          <w:color w:val="000000"/>
          <w:sz w:val="20"/>
        </w:rPr>
        <w:t xml:space="preserve"> </w:t>
      </w:r>
      <w:r>
        <w:rPr>
          <w:rFonts w:ascii="Times New Roman" w:hAnsi="Times New Roman"/>
          <w:color w:val="000000"/>
          <w:sz w:val="24"/>
        </w:rPr>
        <w:t>Except as permitted by Section 9.01(g), it will not, and will not permit any of its Subsidiaries to, become liable, directly or indirectly, with respect to any lease, whether an operating lease or a Capital Lease Obligation, of any Property (whether real, personal, or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mixed), whether now owned or hereafter acquired, which (a) any Obligor has sold or transferred or is to sell or transfer to any other Person and (b) any Obligor intends to use for substantially the same purposes as Property which has been or is to be sold or transferred.</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9.15.</w:t>
      </w:r>
      <w:r>
        <w:rPr>
          <w:rFonts w:ascii="Times New Roman" w:hAnsi="Times New Roman"/>
          <w:color w:val="000000"/>
          <w:sz w:val="20"/>
        </w:rPr>
        <w:t xml:space="preserve"> </w:t>
      </w:r>
      <w:r>
        <w:rPr>
          <w:rFonts w:ascii="Times New Roman" w:hAnsi="Times New Roman"/>
          <w:i/>
          <w:color w:val="000000"/>
          <w:sz w:val="24"/>
        </w:rPr>
        <w:t>Hazardous Material.</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use, generate, manufacture, install, treat, release, store or dispose of any Hazardous Material, except in compliance with all applicable Environmental Laws or where the failure to comply would not reasonably be expected to result in a Material Adverse Change.</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9.16.</w:t>
      </w:r>
      <w:r>
        <w:rPr>
          <w:rFonts w:ascii="Times New Roman" w:hAnsi="Times New Roman"/>
          <w:color w:val="000000"/>
          <w:sz w:val="20"/>
        </w:rPr>
        <w:t xml:space="preserve"> </w:t>
      </w:r>
      <w:r>
        <w:rPr>
          <w:rFonts w:ascii="Times New Roman" w:hAnsi="Times New Roman"/>
          <w:i/>
          <w:color w:val="000000"/>
          <w:sz w:val="24"/>
        </w:rPr>
        <w:t>Accounting Changes.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make any significant change in accounting treatment, except as required or permitted by GAAP.</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9.17.</w:t>
      </w:r>
      <w:r>
        <w:rPr>
          <w:rFonts w:ascii="Times New Roman" w:hAnsi="Times New Roman"/>
          <w:color w:val="000000"/>
          <w:sz w:val="20"/>
        </w:rPr>
        <w:t xml:space="preserve"> </w:t>
      </w:r>
      <w:r>
        <w:rPr>
          <w:rFonts w:ascii="Times New Roman" w:hAnsi="Times New Roman"/>
          <w:i/>
          <w:color w:val="000000"/>
          <w:sz w:val="24"/>
        </w:rPr>
        <w:t>Compliance with ERISA.</w:t>
      </w:r>
      <w:r>
        <w:rPr>
          <w:rFonts w:ascii="Times New Roman" w:hAnsi="Times New Roman"/>
          <w:color w:val="000000"/>
          <w:sz w:val="20"/>
        </w:rPr>
        <w:t xml:space="preserve"> </w:t>
      </w:r>
      <w:r>
        <w:rPr>
          <w:rFonts w:ascii="Times New Roman" w:hAnsi="Times New Roman"/>
          <w:color w:val="000000"/>
          <w:sz w:val="24"/>
        </w:rPr>
        <w:t>No Obligor or ERISA Affiliate shall cause or suffer to exist (a) any event that would result in the imposition of a Lien with respect to any Title IV Plan or Multiemployer Plan or (b) any other ERISA Event, in the case of (a) and (b), that would, in the aggregate, have a Material Adverse Effect.</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9.18.</w:t>
      </w:r>
      <w:r>
        <w:rPr>
          <w:rFonts w:ascii="Times New Roman" w:hAnsi="Times New Roman"/>
          <w:color w:val="000000"/>
          <w:sz w:val="20"/>
        </w:rPr>
        <w:t xml:space="preserve"> </w:t>
      </w:r>
      <w:r>
        <w:rPr>
          <w:rFonts w:ascii="Times New Roman" w:hAnsi="Times New Roman"/>
          <w:i/>
          <w:color w:val="000000"/>
          <w:sz w:val="24"/>
        </w:rPr>
        <w:t>Deposit Accounts.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establish or maintain any bank account that is not a Controlled Account (other than an Excluded Account) and will not, and will not permit any of its Subsidiaries to, deposit proceeds in any account that is not a Controlled Account (other than an Excluded Account).</w:t>
      </w:r>
    </w:p>
    <w:p>
      <w:pPr>
        <w:pStyle w:val="TextBody"/>
        <w:bidi w:val="0"/>
        <w:spacing w:before="200" w:after="283"/>
        <w:jc w:val="both"/>
        <w:rPr>
          <w:rFonts w:ascii="Times New Roman" w:hAnsi="Times New Roman"/>
          <w:sz w:val="20"/>
        </w:rPr>
      </w:pPr>
      <w:r>
        <w:rPr>
          <w:rFonts w:ascii="Times New Roman" w:hAnsi="Times New Roman"/>
          <w:i/>
          <w:color w:val="000000"/>
          <w:sz w:val="24"/>
        </w:rPr>
        <w:t>Section 9.19.</w:t>
      </w:r>
      <w:r>
        <w:rPr>
          <w:rFonts w:ascii="Times New Roman" w:hAnsi="Times New Roman"/>
          <w:color w:val="000000"/>
          <w:sz w:val="20"/>
        </w:rPr>
        <w:t xml:space="preserve"> </w:t>
      </w:r>
      <w:r>
        <w:rPr>
          <w:rFonts w:ascii="Times New Roman" w:hAnsi="Times New Roman"/>
          <w:i/>
          <w:color w:val="000000"/>
          <w:sz w:val="24"/>
        </w:rPr>
        <w:t>Outbound Licenses.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enter into or become bound by any outbound license or agreement unless such outbound license or agreement is a Permitted License.</w:t>
      </w:r>
    </w:p>
    <w:p>
      <w:pPr>
        <w:pStyle w:val="TextBody"/>
        <w:bidi w:val="0"/>
        <w:spacing w:before="200" w:after="283"/>
        <w:jc w:val="both"/>
        <w:rPr>
          <w:rFonts w:ascii="Times New Roman" w:hAnsi="Times New Roman"/>
          <w:sz w:val="20"/>
        </w:rPr>
      </w:pPr>
      <w:r>
        <w:rPr>
          <w:rFonts w:ascii="Times New Roman" w:hAnsi="Times New Roman"/>
          <w:i/>
          <w:color w:val="000000"/>
          <w:sz w:val="24"/>
        </w:rPr>
        <w:t>Section 9.20.</w:t>
      </w:r>
      <w:r>
        <w:rPr>
          <w:rFonts w:ascii="Times New Roman" w:hAnsi="Times New Roman"/>
          <w:color w:val="000000"/>
          <w:sz w:val="20"/>
        </w:rPr>
        <w:t xml:space="preserve"> </w:t>
      </w:r>
      <w:r>
        <w:rPr>
          <w:rFonts w:ascii="Times New Roman" w:hAnsi="Times New Roman"/>
          <w:i/>
          <w:color w:val="000000"/>
          <w:sz w:val="24"/>
        </w:rPr>
        <w:t>Inbound Licenses.</w:t>
      </w:r>
      <w:r>
        <w:rPr>
          <w:rFonts w:ascii="Times New Roman" w:hAnsi="Times New Roman"/>
          <w:color w:val="000000"/>
          <w:sz w:val="20"/>
        </w:rPr>
        <w:t xml:space="preserve"> </w:t>
      </w:r>
      <w:r>
        <w:rPr>
          <w:rFonts w:ascii="Times New Roman" w:hAnsi="Times New Roman"/>
          <w:color w:val="000000"/>
          <w:sz w:val="24"/>
        </w:rPr>
        <w:t xml:space="preserve">It will not, and will not permit any of its Subsidiaries to, enter into or become bound by any inbound license or agreement (other than Permitted Licenses) unless (a) no Default has occurred and is continuing, (b) the Obligors have provided written notice to the Administrative Agent of the material terms of such license or agreement with a description of its anticipated and projected impact on such Obligor’s business or financial condition, and (c) in the case of an Obligor,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allowing the Administrative Agent to fully exercise its rights under any of the Loan Documents in the event of a disposition or liquidation of the rights, assets or property that is the subject of such license or agreement; </w:t>
      </w:r>
      <w:r>
        <w:rPr>
          <w:rFonts w:ascii="Times New Roman" w:hAnsi="Times New Roman"/>
          <w:i/>
          <w:color w:val="000000"/>
          <w:sz w:val="24"/>
        </w:rPr>
        <w:t xml:space="preserve">provided </w:t>
      </w:r>
      <w:r>
        <w:rPr>
          <w:rFonts w:ascii="Times New Roman" w:hAnsi="Times New Roman"/>
          <w:color w:val="000000"/>
          <w:sz w:val="24"/>
        </w:rPr>
        <w:t>that the aggregate amounts to be paid under all such inbound licenses pursuant to this Section 9.20 shall not exceed an amount equal to $1,000,000 per fiscal year.</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4"/>
        </w:rPr>
        <w:t>Section 9.21.</w:t>
      </w:r>
      <w:r>
        <w:rPr>
          <w:rFonts w:ascii="Times New Roman" w:hAnsi="Times New Roman"/>
          <w:color w:val="000000"/>
          <w:sz w:val="20"/>
        </w:rPr>
        <w:t xml:space="preserve"> </w:t>
      </w:r>
      <w:r>
        <w:rPr>
          <w:rFonts w:ascii="Times New Roman" w:hAnsi="Times New Roman"/>
          <w:i/>
          <w:color w:val="000000"/>
          <w:sz w:val="24"/>
        </w:rPr>
        <w:t>Reimbursement from Third-Party Payor Program.</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participate in, or otherwise receive reimbursement from, any Third-Party Payor Program.</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center"/>
        <w:rPr>
          <w:rFonts w:ascii="Times New Roman" w:hAnsi="Times New Roman"/>
          <w:b/>
          <w:smallCaps/>
          <w:color w:val="000000"/>
          <w:sz w:val="24"/>
        </w:rPr>
      </w:pPr>
      <w:r>
        <w:rPr>
          <w:rFonts w:ascii="Times New Roman" w:hAnsi="Times New Roman"/>
          <w:b/>
          <w:smallCaps/>
          <w:color w:val="000000"/>
          <w:sz w:val="24"/>
        </w:rPr>
        <w:t>Article 10</w:t>
        <w:br/>
        <w:br/>
        <w:t>Events of Default</w:t>
      </w:r>
    </w:p>
    <w:p>
      <w:pPr>
        <w:pStyle w:val="TextBody"/>
        <w:bidi w:val="0"/>
        <w:spacing w:before="200" w:after="283"/>
        <w:jc w:val="both"/>
        <w:rPr>
          <w:rFonts w:ascii="Times New Roman" w:hAnsi="Times New Roman"/>
          <w:sz w:val="20"/>
        </w:rPr>
      </w:pPr>
      <w:r>
        <w:rPr>
          <w:rFonts w:ascii="Times New Roman" w:hAnsi="Times New Roman"/>
          <w:i/>
          <w:color w:val="000000"/>
          <w:sz w:val="24"/>
        </w:rPr>
        <w:t>Section 10.01.</w:t>
      </w:r>
      <w:r>
        <w:rPr>
          <w:rFonts w:ascii="Times New Roman" w:hAnsi="Times New Roman"/>
          <w:color w:val="000000"/>
          <w:sz w:val="20"/>
        </w:rPr>
        <w:t xml:space="preserve"> </w:t>
      </w:r>
      <w:r>
        <w:rPr>
          <w:rFonts w:ascii="Times New Roman" w:hAnsi="Times New Roman"/>
          <w:i/>
          <w:color w:val="000000"/>
          <w:sz w:val="24"/>
        </w:rPr>
        <w:t>Events of Default.</w:t>
      </w:r>
      <w:r>
        <w:rPr>
          <w:rFonts w:ascii="Times New Roman" w:hAnsi="Times New Roman"/>
          <w:color w:val="000000"/>
          <w:sz w:val="20"/>
        </w:rPr>
        <w:t xml:space="preserve"> </w:t>
      </w:r>
      <w:r>
        <w:rPr>
          <w:rFonts w:ascii="Times New Roman" w:hAnsi="Times New Roman"/>
          <w:color w:val="000000"/>
          <w:sz w:val="24"/>
        </w:rPr>
        <w:t xml:space="preserve">Each of the following events shall constitute an </w:t>
      </w:r>
      <w:r>
        <w:rPr>
          <w:rFonts w:ascii="Times New Roman" w:hAnsi="Times New Roman"/>
          <w:color w:val="000000"/>
          <w:sz w:val="20"/>
        </w:rPr>
        <w:t>“</w:t>
      </w:r>
      <w:r>
        <w:rPr>
          <w:rFonts w:ascii="Times New Roman" w:hAnsi="Times New Roman"/>
          <w:i/>
          <w:color w:val="000000"/>
          <w:sz w:val="24"/>
        </w:rPr>
        <w:t>Event of Default”</w:t>
      </w:r>
      <w:r>
        <w:rPr>
          <w:rFonts w:ascii="Times New Roman" w:hAnsi="Times New Roman"/>
          <w:color w:val="000000"/>
          <w:sz w:val="24"/>
        </w:rPr>
        <w:t>:</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 Borrower shall fail to pay any principal on the Term Loans when and as the same shall become due and payable, whether at the due date thereof or at a date fixed for prepayment thereof or otherwise; or</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 Obligor shall fail to pay any Obligation (other than an amount referred to in Section 10.01(a)) when and as the same shall become due and payable, and such failure shall continue unremedied for a period of three (3) Business Days; or</w:t>
      </w:r>
    </w:p>
    <w:p>
      <w:pPr>
        <w:pStyle w:val="TextBody"/>
        <w:bidi w:val="0"/>
        <w:spacing w:before="20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any representation or warranty made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w:t>
      </w:r>
    </w:p>
    <w:p>
      <w:pPr>
        <w:pStyle w:val="TextBody"/>
        <w:bidi w:val="0"/>
        <w:spacing w:before="20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any Obligor shall fail to observe or perform any covenant, condition or agreement contained in Sections 8.01, 8.02, 8.03(a) (with respect to such Obligor’s existence), 8.10, 8.11, 8.13, 8.15, 8.16, 8.17, 8.18, 8.19 or Article 9; or</w:t>
      </w:r>
    </w:p>
    <w:p>
      <w:pPr>
        <w:pStyle w:val="TextBody"/>
        <w:bidi w:val="0"/>
        <w:spacing w:before="20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any Obligor shall fail to observe or perform any covenant, condition or agreement contained in this Agreement (other than those specified in Section 10.01(a), (b) or (d)) or any other Loan Document, and, in the case of any failure that is capable of cure, such failure shall continue unremedied for a period of thirty (30) or more days; or</w:t>
      </w:r>
    </w:p>
    <w:p>
      <w:pPr>
        <w:pStyle w:val="TextBody"/>
        <w:bidi w:val="0"/>
        <w:spacing w:before="20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any Obligor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 or</w:t>
      </w:r>
    </w:p>
    <w:p>
      <w:pPr>
        <w:pStyle w:val="TextBody"/>
        <w:bidi w:val="0"/>
        <w:spacing w:before="20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 xml:space="preserve">(i)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cure period thereunder, or (ii)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this Section 10.01(g) shall not apply to secured Indebtedness that becomes due as a result of the voluntary sale or transfer of the Property securing such Material Indebtedness; or</w:t>
      </w:r>
    </w:p>
    <w:p>
      <w:pPr>
        <w:pStyle w:val="TextBody"/>
        <w:bidi w:val="0"/>
        <w:spacing w:before="20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any Obligor or any of its Subsidiaries: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w:t>
      </w:r>
    </w:p>
    <w:p>
      <w:pPr>
        <w:pStyle w:val="TextBody"/>
        <w:bidi w:val="0"/>
        <w:spacing w:before="20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10.01(i), (C) apply for or consent to the appointment of a receiver, trustee, custodian, sequestrator, conservator or similar official for an Obligor or for a substantial part of its assets, (D) file an answer admitting the material allegations of a petition filed against it in any such proceeding, (E) make a general assignment for the benefit of creditors or (F) take any action for the purpose of effecting any of the foregoing; or</w:t>
      </w:r>
    </w:p>
    <w:p>
      <w:pPr>
        <w:pStyle w:val="TextBody"/>
        <w:bidi w:val="0"/>
        <w:spacing w:before="20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an involuntary proceeding shall be commenced or an involuntary petition shall be filed seeking (i) 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w:t>
      </w:r>
    </w:p>
    <w:p>
      <w:pPr>
        <w:pStyle w:val="TextBody"/>
        <w:bidi w:val="0"/>
        <w:spacing w:before="200" w:after="283"/>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one or more judgments for the payment of money in an aggregate amount in excess of $500,000 (excluding any amounts covered by insurance as to which the applicable carrier has accepted coverage) shall be rendered against any Obligor or any combination thereof and the same shall remain undischarged for a period of forty-five (45) consecutive days during which execution shall not be effectively stayed, or any action shall be legally taken by a judgment creditor to attach or levy upon any assets of any Obligor to enforce any such judgment; or</w:t>
      </w:r>
    </w:p>
    <w:p>
      <w:pPr>
        <w:pStyle w:val="TextBody"/>
        <w:bidi w:val="0"/>
        <w:spacing w:before="200" w:after="283"/>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an ERISA Event shall have occurred that, in the opinion of the Lenders, when taken together with all other ERISA Events that have occurred, would reasonably be expected to have a Material Adverse Effect; or</w:t>
      </w:r>
    </w:p>
    <w:p>
      <w:pPr>
        <w:pStyle w:val="TextBody"/>
        <w:bidi w:val="0"/>
        <w:spacing w:before="200" w:after="283"/>
        <w:jc w:val="both"/>
        <w:rPr>
          <w:rFonts w:ascii="Times New Roman" w:hAnsi="Times New Roman"/>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a Change of Control shall have occurred; or</w:t>
      </w:r>
    </w:p>
    <w:p>
      <w:pPr>
        <w:pStyle w:val="TextBody"/>
        <w:bidi w:val="0"/>
        <w:spacing w:before="200" w:after="283"/>
        <w:jc w:val="both"/>
        <w:rPr>
          <w:rFonts w:ascii="Times New Roman" w:hAnsi="Times New Roman"/>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4"/>
        </w:rPr>
        <w:t>a Material Adverse Change shall have occurred; or</w:t>
      </w:r>
    </w:p>
    <w:p>
      <w:pPr>
        <w:pStyle w:val="TextBody"/>
        <w:bidi w:val="0"/>
        <w:spacing w:before="200" w:after="283"/>
        <w:jc w:val="both"/>
        <w:rPr>
          <w:rFonts w:ascii="Times New Roman" w:hAnsi="Times New Roman"/>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color w:val="000000"/>
          <w:sz w:val="24"/>
        </w:rPr>
        <w:t>(i) any Lien created by any of the Security Documents shall at any time not constitute a valid and perfected Lien in favor of the Administrative Agent on Collateral with an aggregate value in excess of $250,000, free and clear of all other Liens (other than Permitted Liens) except due to the action or inaction of the Administrative Agent or any Lender(s), (ii) the Security Documents or any Guarantee of any of the Obligations shall for whatever reason cease to be in full force and effect, or (iii) any of the Security Documents or any Guarantee of any of the Obligations, or the enforceability thereof, shall be repudiated or contested in writing by any Obligor; or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(o)</w:t>
      </w:r>
      <w:r>
        <w:rPr>
          <w:rFonts w:ascii="Times New Roman" w:hAnsi="Times New Roman"/>
          <w:color w:val="000000"/>
          <w:sz w:val="20"/>
        </w:rPr>
        <w:t xml:space="preserve"> </w:t>
      </w:r>
      <w:r>
        <w:rPr>
          <w:rFonts w:ascii="Times New Roman" w:hAnsi="Times New Roman"/>
          <w:color w:val="000000"/>
          <w:sz w:val="24"/>
        </w:rPr>
        <w:t>any injunction, whether temporary or permanent, shall be rendered against any Obligor that prevents the Obligors from selling or manufacturing any Product and which results in a loss of revenue equal to at least $1,000,000; or</w:t>
      </w:r>
    </w:p>
    <w:p>
      <w:pPr>
        <w:pStyle w:val="TextBody"/>
        <w:bidi w:val="0"/>
        <w:spacing w:before="200" w:after="283"/>
        <w:jc w:val="both"/>
        <w:rPr>
          <w:rFonts w:ascii="Times New Roman" w:hAnsi="Times New Roman"/>
          <w:sz w:val="20"/>
        </w:rPr>
      </w:pPr>
      <w:r>
        <w:rPr>
          <w:rFonts w:ascii="Times New Roman" w:hAnsi="Times New Roman"/>
          <w:color w:val="000000"/>
          <w:sz w:val="24"/>
        </w:rPr>
        <w:t>(p)</w:t>
      </w:r>
      <w:r>
        <w:rPr>
          <w:rFonts w:ascii="Times New Roman" w:hAnsi="Times New Roman"/>
          <w:color w:val="000000"/>
          <w:sz w:val="20"/>
        </w:rPr>
        <w:t xml:space="preserve"> </w:t>
      </w:r>
      <w:r>
        <w:rPr>
          <w:rFonts w:ascii="Times New Roman" w:hAnsi="Times New Roman"/>
          <w:color w:val="000000"/>
          <w:sz w:val="24"/>
        </w:rPr>
        <w:t>(i) the FDA or any other Governmental Authority (A) issues a letter or other communication asserting that any Product lacks a required Product Authorization, including in respect of CE marks, Premarket Approvals, or 510(k)s or (B) initiates enforcement action against, or issues a warning letter with respect to, any Obligor, or any of their Products or the manufacturing facilities therefor, that causes any Obligor thereof to discontinue marketing or withdraw any of its Products, or causes a delay in the manufacture of any of its Products, which discontinuance, withdrawal or delay would reasonably be expected to last for more than ninety (90) days, (ii) any Permit (including all Product Authorizations), or any of the Obligors’ material rights or interests thereunder, is terminated, adversely amended or otherwise determined to be ineffective in any manner materially adverse to any of the Obligors, in each case, for more than ninety (90) days,</w:t>
      </w:r>
      <w:r>
        <w:rPr>
          <w:rFonts w:ascii="Times New Roman" w:hAnsi="Times New Roman"/>
          <w:color w:val="000000"/>
          <w:sz w:val="20"/>
        </w:rPr>
        <w:t xml:space="preserve"> </w:t>
      </w:r>
      <w:r>
        <w:rPr>
          <w:rFonts w:ascii="Times New Roman" w:hAnsi="Times New Roman"/>
          <w:color w:val="000000"/>
          <w:sz w:val="24"/>
        </w:rPr>
        <w:t>(iii) there is a recall of any Product in any territory that would reasonably be expected to result in a loss of revenue equal to at least $500,000 over the twelve (12) month period following such event or (iv) any Obligor is required to pay a fine, penalty, settlement amount or other payment to any Governmental Authority which individually or in the aggregate is in excess of $500,000 (excluding any amounts covered by insurance as to which the applicable carrier has accepted coverage) for any violation or alleged violation of any Health Care Law.</w:t>
      </w:r>
    </w:p>
    <w:p>
      <w:pPr>
        <w:pStyle w:val="TextBody"/>
        <w:bidi w:val="0"/>
        <w:spacing w:before="200" w:after="283"/>
        <w:jc w:val="both"/>
        <w:rPr>
          <w:rFonts w:ascii="Times New Roman" w:hAnsi="Times New Roman"/>
          <w:sz w:val="20"/>
        </w:rPr>
      </w:pPr>
      <w:r>
        <w:rPr>
          <w:rFonts w:ascii="Times New Roman" w:hAnsi="Times New Roman"/>
          <w:i/>
          <w:color w:val="000000"/>
          <w:sz w:val="24"/>
        </w:rPr>
        <w:t>Section 10.02.</w:t>
      </w:r>
      <w:r>
        <w:rPr>
          <w:rFonts w:ascii="Times New Roman" w:hAnsi="Times New Roman"/>
          <w:color w:val="000000"/>
          <w:sz w:val="20"/>
        </w:rPr>
        <w:t xml:space="preserve"> </w:t>
      </w:r>
      <w:r>
        <w:rPr>
          <w:rFonts w:ascii="Times New Roman" w:hAnsi="Times New Roman"/>
          <w:i/>
          <w:color w:val="000000"/>
          <w:sz w:val="24"/>
        </w:rPr>
        <w:t>Remedies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Upon the occurrence of any Event of Default, then, and in every such event (other than an Event of Default described in Section 10.01(h) or (i)), and at any time thereafter during the continuance of such event, the Majority Lenders may, by notice to the Borrower, take either or both of the following actions, at the same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(including the Exit Fee and fees payable pursuant to the Fee Letter) and other Obligations, shall become due and payable immediately (in the case of the Term Loans, at the Redemption Price therefor), without presentment, demand, protest or other notice of any kind, all of which are hereby waived by each Obligor.</w:t>
      </w:r>
    </w:p>
    <w:p>
      <w:pPr>
        <w:pStyle w:val="TextBody"/>
        <w:bidi w:val="0"/>
        <w:spacing w:before="20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Upon the occurrence of any Event of Default described in Section 10.01(h) or (i), the Commitments shall automatically terminate and the principal amount of the Term Loans then outstanding, together with accrued interest thereon and all fees (including the Exit Fee and fees payable pursuant to the Fee Letter) and other Obligations, shall automatically become due and payable immediately (in the case of the Term Loan, at the Redemption Price therefor), without presentment, demand, protest or other notice of any kind, all of which are hereby waived by each Obligor.</w:t>
      </w:r>
    </w:p>
    <w:p>
      <w:pPr>
        <w:pStyle w:val="TextBody"/>
        <w:bidi w:val="0"/>
        <w:spacing w:before="20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If any Lender collects any money or property pursuant to this Article 10, they shall pay out the money or property in the order set forth in Section 4.01(c).</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10.03.</w:t>
      </w:r>
      <w:r>
        <w:rPr>
          <w:rFonts w:ascii="Times New Roman" w:hAnsi="Times New Roman"/>
          <w:color w:val="000000"/>
          <w:sz w:val="20"/>
        </w:rPr>
        <w:t xml:space="preserve"> </w:t>
      </w:r>
      <w:r>
        <w:rPr>
          <w:rFonts w:ascii="Times New Roman" w:hAnsi="Times New Roman"/>
          <w:i/>
          <w:color w:val="000000"/>
          <w:sz w:val="24"/>
        </w:rPr>
        <w:t>Exit Fee; Prepayment Premium and Redemption Price.</w:t>
      </w:r>
      <w:r>
        <w:rPr>
          <w:rFonts w:ascii="Times New Roman" w:hAnsi="Times New Roman"/>
          <w:color w:val="000000"/>
          <w:sz w:val="20"/>
        </w:rPr>
        <w:t xml:space="preserve"> </w:t>
      </w:r>
      <w:r>
        <w:rPr>
          <w:rFonts w:ascii="Times New Roman" w:hAnsi="Times New Roman"/>
          <w:color w:val="000000"/>
          <w:sz w:val="24"/>
        </w:rPr>
        <w:t>For the avoidance of doubt, the Exit Fee and any Prepayment Premium (as a component of the Redemption Price) shall be due and payable at any time the Term Loans become due and payable prior to the Stated Maturity Date for any reason, whether due to acceleration pursuant to the terms of this Agreement (in which case it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shall be due immediately, upon the giving of notice to the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the Exit Fee and any Prepayment Premium shall be due and payable upon such date. Each Obligor hereby waives any defense to payment, whether such defense may be based in public policy, ambiguity, or otherwise. The Obligors and the Lenders acknowledge and agree that neither the Exit Fee nor any Prepayment Premium due and payable in accordance with this Agreement shall constitute unmatured interest, whether under Section 502(b)(2) of the Bankruptcy Code or otherwise. Each Obligor further acknowledges and agrees, and waives any argument to the contrary, that payment of such amount does not constitute a penalty or an otherwise unenforceable or invalid obligation.</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11</w:t>
        <w:br/>
        <w:br/>
        <w:t>Guarantee</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11.01.</w:t>
      </w:r>
      <w:r>
        <w:rPr>
          <w:rFonts w:ascii="Times New Roman" w:hAnsi="Times New Roman"/>
          <w:color w:val="000000"/>
          <w:sz w:val="20"/>
        </w:rPr>
        <w:t xml:space="preserve"> </w:t>
      </w:r>
      <w:r>
        <w:rPr>
          <w:rFonts w:ascii="Times New Roman" w:hAnsi="Times New Roman"/>
          <w:i/>
          <w:color w:val="000000"/>
          <w:sz w:val="24"/>
        </w:rPr>
        <w:t>The Guarantee.</w:t>
      </w:r>
      <w:r>
        <w:rPr>
          <w:rFonts w:ascii="Times New Roman" w:hAnsi="Times New Roman"/>
          <w:color w:val="000000"/>
          <w:sz w:val="20"/>
        </w:rPr>
        <w:t xml:space="preserve"> </w:t>
      </w:r>
      <w:r>
        <w:rPr>
          <w:rFonts w:ascii="Times New Roman" w:hAnsi="Times New Roman"/>
          <w:color w:val="000000"/>
          <w:sz w:val="24"/>
        </w:rPr>
        <w:t xml:space="preserve">The Guarantors hereby jointly and severally guarantee to the Administrative Agent and each Lender, and its successors and permitted assigns, the prompt payment in full when due (whether at stated maturity, by acceleration or otherwise) of the principal of and interest on the Term Loans, all fees and other amounts and all other Obligations from time to time owing to the Administrative Agent and any Lender by the Borrower and any other Obligor under this Agreement or under any other Loan Document, in each case strictly in accordance with the terms thereof (such obligations being herein collectively called the </w:t>
      </w:r>
      <w:r>
        <w:rPr>
          <w:rFonts w:ascii="Times New Roman" w:hAnsi="Times New Roman"/>
          <w:color w:val="000000"/>
          <w:sz w:val="20"/>
        </w:rPr>
        <w:t>“</w:t>
      </w:r>
      <w:r>
        <w:rPr>
          <w:rFonts w:ascii="Times New Roman" w:hAnsi="Times New Roman"/>
          <w:i/>
          <w:color w:val="000000"/>
          <w:sz w:val="24"/>
        </w:rPr>
        <w:t>Guaranteed Obligations”</w:t>
      </w:r>
      <w:r>
        <w:rPr>
          <w:rFonts w:ascii="Times New Roman" w:hAnsi="Times New Roman"/>
          <w:color w:val="000000"/>
          <w:sz w:val="24"/>
        </w:rPr>
        <w:t>).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11.02.</w:t>
      </w:r>
      <w:r>
        <w:rPr>
          <w:rFonts w:ascii="Times New Roman" w:hAnsi="Times New Roman"/>
          <w:color w:val="000000"/>
          <w:sz w:val="20"/>
        </w:rPr>
        <w:t xml:space="preserve"> </w:t>
      </w:r>
      <w:r>
        <w:rPr>
          <w:rFonts w:ascii="Times New Roman" w:hAnsi="Times New Roman"/>
          <w:i/>
          <w:color w:val="000000"/>
          <w:sz w:val="24"/>
        </w:rPr>
        <w:t>Obligations Unconditional.</w:t>
      </w:r>
      <w:r>
        <w:rPr>
          <w:rFonts w:ascii="Times New Roman" w:hAnsi="Times New Roman"/>
          <w:color w:val="000000"/>
          <w:sz w:val="20"/>
        </w:rPr>
        <w:t xml:space="preserve"> </w:t>
      </w:r>
      <w:r>
        <w:rPr>
          <w:rFonts w:ascii="Times New Roman" w:hAnsi="Times New Roman"/>
          <w:color w:val="000000"/>
          <w:sz w:val="24"/>
        </w:rPr>
        <w:t>The Obligations of the Guarantors under Section 11.01 are irrevocable, continuing, absolute and unconditional, joint and several,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Guaranteed Obligations of the Guarantors hereunder shall be absolute and unconditional, joint and several, under any and all circumstances. Without limiting the generality of the foregoing, to the fullest extent permitted by law, it is agreed that the occurrence of any one or more of the following shall not alter or impair the liability of the Guarantors hereunder, which shall remain absolute and unconditional as described above:</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at any time or from time to time, without notice to the Guarantors, the time for any performance of or compliance with any of the Guaranteed Obligations shall be extended, or such performance or compliance shall be waived;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 of the acts mentioned in any of the provisions of this Agreement or any other agreement or instrument referred to herein shall be done or omitted;</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maturity of any of the Guaranteed Obligations shall be accelerated, or any of the Guaranteed Obligations shall be modified, supplemented or amended in any 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this Agreement or any other agreement or instrument referred to herein shall be waived or any other Guarantee of any of the Guaranteed Obligations or any security therefor shall be released or exchanged in whole or in part or otherwise dealt with;</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any Lien or security interest granted to, or in favor of, any Lender as security for any of the Guaranteed Obligations shall fail to be perfected or otherwise be taken, exchanged, substituted, varied, released, impaired, or subordinated;</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any Guarantee of the Guaranteed Obligations shall be taken, released, impaired, amended, waived or otherwise modified;</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any of the Guaranteed Obligations, any Loan Document, or any related agreement, security, or instrument shall be illegal, invalid or unenforceable for any reason whatsoever;</w:t>
      </w:r>
    </w:p>
    <w:p>
      <w:pPr>
        <w:pStyle w:val="TextBody"/>
        <w:bidi w:val="0"/>
        <w:spacing w:before="28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any Collateral or other assets shall be sold or disposed, and/or the proceeds of such sale or disposition applied, to satisfy all or part of the Guaranteed Obligations;</w:t>
      </w:r>
    </w:p>
    <w:p>
      <w:pPr>
        <w:pStyle w:val="TextBody"/>
        <w:bidi w:val="0"/>
        <w:spacing w:before="280" w:after="283"/>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any of the security or Collateral held for the Guaranteed Obligations shall lose or diminish in value, whether such loss or diminution arises from any act or omission of the Administrative Agent or any Lender;</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there shall be any Default, failure, or delay, willful or otherwise, in the payment and/or performance of the Guaranteed Obligations;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w:t>
      </w:r>
    </w:p>
    <w:p>
      <w:pPr>
        <w:pStyle w:val="TextBody"/>
        <w:bidi w:val="0"/>
        <w:spacing w:before="280" w:after="283"/>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there shall be any failure of any of the Administrative Agent or any Lender to disclose to any Obligor any information relating to the business, condition (financial or otherwise), operations, performance, properties or prospects of any other Obligor, or any other information now or hereafter known to the Administrative Agent or such Lender;</w:t>
      </w:r>
    </w:p>
    <w:p>
      <w:pPr>
        <w:pStyle w:val="TextBody"/>
        <w:bidi w:val="0"/>
        <w:spacing w:before="280" w:after="283"/>
        <w:jc w:val="both"/>
        <w:rPr>
          <w:rFonts w:ascii="Times New Roman" w:hAnsi="Times New Roman"/>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any person shall fail to execute or deliver this Agreement (including the Guarantee in this Article 11) or any other Guarantee or agreement or the release or reduction of liability of any Obligor or surety with respect to the Guaranteed Obligations;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4"/>
        </w:rPr>
        <w:t>any of the Administrative Agent or any Lender shall fail to assert any claim or demand or to exercise or enforce any right or remedy under the provisions of any Loan Document or otherwise;</w:t>
      </w:r>
    </w:p>
    <w:p>
      <w:pPr>
        <w:pStyle w:val="TextBody"/>
        <w:bidi w:val="0"/>
        <w:spacing w:before="280" w:after="283"/>
        <w:jc w:val="both"/>
        <w:rPr>
          <w:rFonts w:ascii="Times New Roman" w:hAnsi="Times New Roman"/>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color w:val="000000"/>
          <w:sz w:val="24"/>
        </w:rPr>
        <w:t>any Obligor shall assert any defense, set-off or counterclaim (other than a defense of payment or performance) that may at any time be available to, or be asserted by, such against any of the Administrative Agent or any Lender; or</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(o)</w:t>
      </w:r>
      <w:r>
        <w:rPr>
          <w:rFonts w:ascii="Times New Roman" w:hAnsi="Times New Roman"/>
          <w:color w:val="000000"/>
          <w:sz w:val="20"/>
        </w:rPr>
        <w:t xml:space="preserve"> </w:t>
      </w:r>
      <w:r>
        <w:rPr>
          <w:rFonts w:ascii="Times New Roman" w:hAnsi="Times New Roman"/>
          <w:color w:val="000000"/>
          <w:sz w:val="24"/>
        </w:rPr>
        <w:t>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11.03.</w:t>
      </w:r>
      <w:r>
        <w:rPr>
          <w:rFonts w:ascii="Times New Roman" w:hAnsi="Times New Roman"/>
          <w:color w:val="000000"/>
          <w:sz w:val="20"/>
        </w:rPr>
        <w:t xml:space="preserve"> </w:t>
      </w:r>
      <w:r>
        <w:rPr>
          <w:rFonts w:ascii="Times New Roman" w:hAnsi="Times New Roman"/>
          <w:i/>
          <w:color w:val="000000"/>
          <w:sz w:val="24"/>
        </w:rPr>
        <w:t>Reinstatement.</w:t>
      </w:r>
      <w:r>
        <w:rPr>
          <w:rFonts w:ascii="Times New Roman" w:hAnsi="Times New Roman"/>
          <w:color w:val="000000"/>
          <w:sz w:val="20"/>
        </w:rPr>
        <w:t xml:space="preserve"> </w:t>
      </w:r>
      <w:r>
        <w:rPr>
          <w:rFonts w:ascii="Times New Roman" w:hAnsi="Times New Roman"/>
          <w:color w:val="000000"/>
          <w:sz w:val="24"/>
        </w:rPr>
        <w:t>The obligations of the Guarantors under this Article 11 shall be automatically reinstated if 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(subject to Section 13.03(b))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11.04.</w:t>
      </w:r>
      <w:r>
        <w:rPr>
          <w:rFonts w:ascii="Times New Roman" w:hAnsi="Times New Roman"/>
          <w:color w:val="000000"/>
          <w:sz w:val="20"/>
        </w:rPr>
        <w:t xml:space="preserve"> </w:t>
      </w:r>
      <w:r>
        <w:rPr>
          <w:rFonts w:ascii="Times New Roman" w:hAnsi="Times New Roman"/>
          <w:i/>
          <w:color w:val="000000"/>
          <w:sz w:val="24"/>
        </w:rPr>
        <w:t>Subrogation.</w:t>
      </w:r>
      <w:r>
        <w:rPr>
          <w:rFonts w:ascii="Times New Roman" w:hAnsi="Times New Roman"/>
          <w:color w:val="000000"/>
          <w:sz w:val="20"/>
        </w:rPr>
        <w:t xml:space="preserve"> </w:t>
      </w:r>
      <w:r>
        <w:rPr>
          <w:rFonts w:ascii="Times New Roman" w:hAnsi="Times New Roman"/>
          <w:color w:val="000000"/>
          <w:sz w:val="24"/>
        </w:rPr>
        <w:t>The Guarantors hereby jointly and severally agree that, until the payment and satisfaction in full of all Guaranteed Obligations (other than the Warrant Obligations) and the expiration and termination of the Commitments,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11.05.</w:t>
      </w:r>
      <w:r>
        <w:rPr>
          <w:rFonts w:ascii="Times New Roman" w:hAnsi="Times New Roman"/>
          <w:color w:val="000000"/>
          <w:sz w:val="20"/>
        </w:rPr>
        <w:t xml:space="preserve"> </w:t>
      </w:r>
      <w:r>
        <w:rPr>
          <w:rFonts w:ascii="Times New Roman" w:hAnsi="Times New Roman"/>
          <w:i/>
          <w:color w:val="000000"/>
          <w:sz w:val="24"/>
        </w:rPr>
        <w:t>Remedies.</w:t>
      </w:r>
      <w:r>
        <w:rPr>
          <w:rFonts w:ascii="Times New Roman" w:hAnsi="Times New Roman"/>
          <w:color w:val="000000"/>
          <w:sz w:val="20"/>
        </w:rPr>
        <w:t xml:space="preserve"> </w:t>
      </w:r>
      <w:r>
        <w:rPr>
          <w:rFonts w:ascii="Times New Roman" w:hAnsi="Times New Roman"/>
          <w:color w:val="000000"/>
          <w:sz w:val="24"/>
        </w:rPr>
        <w:t>The Guarantors jointly and severally agree that, as between the Guarantors, on one hand, and the Lenders, on the other 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11.06.</w:t>
      </w:r>
      <w:r>
        <w:rPr>
          <w:rFonts w:ascii="Times New Roman" w:hAnsi="Times New Roman"/>
          <w:color w:val="000000"/>
          <w:sz w:val="20"/>
        </w:rPr>
        <w:t xml:space="preserve"> </w:t>
      </w:r>
      <w:r>
        <w:rPr>
          <w:rFonts w:ascii="Times New Roman" w:hAnsi="Times New Roman"/>
          <w:i/>
          <w:color w:val="000000"/>
          <w:sz w:val="24"/>
        </w:rPr>
        <w:t>Instrument for the Payment of Money.</w:t>
      </w:r>
      <w:r>
        <w:rPr>
          <w:rFonts w:ascii="Times New Roman" w:hAnsi="Times New Roman"/>
          <w:color w:val="000000"/>
          <w:sz w:val="20"/>
        </w:rPr>
        <w:t xml:space="preserve"> </w:t>
      </w:r>
      <w:r>
        <w:rPr>
          <w:rFonts w:ascii="Times New Roman" w:hAnsi="Times New Roman"/>
          <w:color w:val="000000"/>
          <w:sz w:val="24"/>
        </w:rPr>
        <w:t>Each Guarantor hereby acknowledges that the Guarantee in this Article 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11.07.</w:t>
      </w:r>
      <w:r>
        <w:rPr>
          <w:rFonts w:ascii="Times New Roman" w:hAnsi="Times New Roman"/>
          <w:color w:val="000000"/>
          <w:sz w:val="20"/>
        </w:rPr>
        <w:t xml:space="preserve"> </w:t>
      </w:r>
      <w:r>
        <w:rPr>
          <w:rFonts w:ascii="Times New Roman" w:hAnsi="Times New Roman"/>
          <w:i/>
          <w:color w:val="000000"/>
          <w:sz w:val="24"/>
        </w:rPr>
        <w:t>Continuing Guarantee.</w:t>
      </w:r>
      <w:r>
        <w:rPr>
          <w:rFonts w:ascii="Times New Roman" w:hAnsi="Times New Roman"/>
          <w:color w:val="000000"/>
          <w:sz w:val="20"/>
        </w:rPr>
        <w:t xml:space="preserve"> </w:t>
      </w:r>
      <w:r>
        <w:rPr>
          <w:rFonts w:ascii="Times New Roman" w:hAnsi="Times New Roman"/>
          <w:color w:val="000000"/>
          <w:sz w:val="24"/>
        </w:rPr>
        <w:t>The Guarantee in this Article 11 is a continuing guarantee, and shall apply to all Guaranteed Obligations whenever arising. Without limiting the generality of the foregoing, the Guarantors hereby unconditionally and irrevocably waive any right to revoke this Guarantee in this Article 11 and acknowledge that, subject to Section 13.18 hereof, the Guarantee in this Article 11 is continuing in nature, shall guarantee any ultimate balance owing to any of the Administrative Agent or any Lender, and applies to all presently existing and future Guaranteed Obligations, until the complete payment and satisfaction in full of the Guaranteed Obligations.</w:t>
      </w:r>
      <w:r>
        <w:rPr>
          <w:rFonts w:ascii="Times New Roman" w:hAnsi="Times New Roman"/>
          <w:color w:val="3D3D3D"/>
          <w:sz w:val="20"/>
        </w:rPr>
        <w:t xml:space="preserve"> </w:t>
      </w:r>
      <w:r>
        <w:rPr>
          <w:rFonts w:ascii="Times New Roman" w:hAnsi="Times New Roman"/>
          <w:color w:val="000000"/>
          <w:sz w:val="24"/>
        </w:rPr>
        <w:t>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11.08.</w:t>
      </w:r>
      <w:r>
        <w:rPr>
          <w:rFonts w:ascii="Times New Roman" w:hAnsi="Times New Roman"/>
          <w:color w:val="000000"/>
          <w:sz w:val="20"/>
        </w:rPr>
        <w:t xml:space="preserve"> </w:t>
      </w:r>
      <w:r>
        <w:rPr>
          <w:rFonts w:ascii="Times New Roman" w:hAnsi="Times New Roman"/>
          <w:i/>
          <w:color w:val="000000"/>
          <w:sz w:val="24"/>
        </w:rPr>
        <w:t>Rights of Contribution.</w:t>
      </w:r>
      <w:r>
        <w:rPr>
          <w:rFonts w:ascii="Times New Roman" w:hAnsi="Times New Roman"/>
          <w:color w:val="000000"/>
          <w:sz w:val="20"/>
        </w:rPr>
        <w:t xml:space="preserve"> </w:t>
      </w:r>
      <w:r>
        <w:rPr>
          <w:rFonts w:ascii="Times New Roman" w:hAnsi="Times New Roman"/>
          <w:color w:val="000000"/>
          <w:sz w:val="24"/>
        </w:rPr>
        <w:t>The Guarantors hereby agree, as between themselves, that if any Guarantor shall 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For purposes of this Section 11.08, (a) </w:t>
      </w:r>
      <w:r>
        <w:rPr>
          <w:rFonts w:ascii="Times New Roman" w:hAnsi="Times New Roman"/>
          <w:color w:val="000000"/>
          <w:sz w:val="20"/>
        </w:rPr>
        <w:t>“</w:t>
      </w:r>
      <w:r>
        <w:rPr>
          <w:rFonts w:ascii="Times New Roman" w:hAnsi="Times New Roman"/>
          <w:i/>
          <w:color w:val="000000"/>
          <w:sz w:val="24"/>
        </w:rPr>
        <w:t>Excess Funding Guarantor”</w:t>
      </w:r>
      <w:r>
        <w:rPr>
          <w:rFonts w:ascii="Times New Roman" w:hAnsi="Times New Roman"/>
          <w:color w:val="000000"/>
          <w:sz w:val="20"/>
        </w:rPr>
        <w:t xml:space="preserve"> </w:t>
      </w:r>
      <w:r>
        <w:rPr>
          <w:rFonts w:ascii="Times New Roman" w:hAnsi="Times New Roman"/>
          <w:color w:val="000000"/>
          <w:sz w:val="24"/>
        </w:rPr>
        <w:t xml:space="preserve">means, in respect of any Guaranteed Obligations, a Guarantor that has paid an amount in excess of its Pro Rata Share of such Guaranteed Obligations, (b) </w:t>
      </w:r>
      <w:r>
        <w:rPr>
          <w:rFonts w:ascii="Times New Roman" w:hAnsi="Times New Roman"/>
          <w:color w:val="000000"/>
          <w:sz w:val="20"/>
        </w:rPr>
        <w:t>“</w:t>
      </w:r>
      <w:r>
        <w:rPr>
          <w:rFonts w:ascii="Times New Roman" w:hAnsi="Times New Roman"/>
          <w:i/>
          <w:color w:val="000000"/>
          <w:sz w:val="24"/>
        </w:rPr>
        <w:t>Excess Payment”</w:t>
      </w:r>
      <w:r>
        <w:rPr>
          <w:rFonts w:ascii="Times New Roman" w:hAnsi="Times New Roman"/>
          <w:color w:val="000000"/>
          <w:sz w:val="20"/>
        </w:rPr>
        <w:t xml:space="preserve"> </w:t>
      </w:r>
      <w:r>
        <w:rPr>
          <w:rFonts w:ascii="Times New Roman" w:hAnsi="Times New Roman"/>
          <w:color w:val="000000"/>
          <w:sz w:val="24"/>
        </w:rPr>
        <w:t xml:space="preserve">means, in respect of any Guaranteed Obligations, the amount paid by an Excess Funding Guarantor in excess of its Pro Rata Share of such Guaranteed Obligations and (c) </w:t>
      </w:r>
      <w:r>
        <w:rPr>
          <w:rFonts w:ascii="Times New Roman" w:hAnsi="Times New Roman"/>
          <w:color w:val="000000"/>
          <w:sz w:val="20"/>
        </w:rPr>
        <w:t>“</w:t>
      </w:r>
      <w:r>
        <w:rPr>
          <w:rFonts w:ascii="Times New Roman" w:hAnsi="Times New Roman"/>
          <w:i/>
          <w:color w:val="000000"/>
          <w:sz w:val="24"/>
        </w:rPr>
        <w:t>Pro Rata Share”</w:t>
      </w:r>
      <w:r>
        <w:rPr>
          <w:rFonts w:ascii="Times New Roman" w:hAnsi="Times New Roman"/>
          <w:color w:val="000000"/>
          <w:sz w:val="20"/>
        </w:rPr>
        <w:t xml:space="preserve"> </w:t>
      </w:r>
      <w:r>
        <w:rPr>
          <w:rFonts w:ascii="Times New Roman" w:hAnsi="Times New Roman"/>
          <w:color w:val="000000"/>
          <w:sz w:val="24"/>
        </w:rPr>
        <w:t>means, as of the date of determination, for any Guarantor, the ratio (expressed as a percentage) of (i)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11.09.</w:t>
      </w:r>
      <w:r>
        <w:rPr>
          <w:rFonts w:ascii="Times New Roman" w:hAnsi="Times New Roman"/>
          <w:color w:val="000000"/>
          <w:sz w:val="20"/>
        </w:rPr>
        <w:t xml:space="preserve"> </w:t>
      </w:r>
      <w:r>
        <w:rPr>
          <w:rFonts w:ascii="Times New Roman" w:hAnsi="Times New Roman"/>
          <w:i/>
          <w:color w:val="000000"/>
          <w:sz w:val="24"/>
        </w:rPr>
        <w:t>General Limitation on Guarantee Obligations.</w:t>
      </w:r>
      <w:r>
        <w:rPr>
          <w:rFonts w:ascii="Times New Roman" w:hAnsi="Times New Roman"/>
          <w:color w:val="000000"/>
          <w:sz w:val="20"/>
        </w:rPr>
        <w:t xml:space="preserve"> </w:t>
      </w:r>
      <w:r>
        <w:rPr>
          <w:rFonts w:ascii="Times New Roman" w:hAnsi="Times New Roman"/>
          <w:color w:val="000000"/>
          <w:sz w:val="24"/>
        </w:rPr>
        <w:t>In any action or proceeding involving any provincial, territorial or state corporate Law, or any state, federal, provincial, territorial or foreign bankruptcy, insolvency, reorganization or other Law affecting the rights of creditors generally,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12</w:t>
        <w:br/>
        <w:br/>
        <w:t>Administrative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12.01.</w:t>
      </w:r>
      <w:r>
        <w:rPr>
          <w:rFonts w:ascii="Times New Roman" w:hAnsi="Times New Roman"/>
          <w:color w:val="000000"/>
          <w:sz w:val="20"/>
        </w:rPr>
        <w:t xml:space="preserve"> </w:t>
      </w:r>
      <w:r>
        <w:rPr>
          <w:rFonts w:ascii="Times New Roman" w:hAnsi="Times New Roman"/>
          <w:i/>
          <w:color w:val="000000"/>
          <w:sz w:val="24"/>
        </w:rPr>
        <w:t>Appointment</w:t>
      </w:r>
      <w:r>
        <w:rPr>
          <w:rFonts w:ascii="Times New Roman" w:hAnsi="Times New Roman"/>
          <w:color w:val="000000"/>
          <w:sz w:val="24"/>
        </w:rPr>
        <w:t>. Each of the Lenders hereby irrevocably appoints Perceptive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are solely for the benefit of the Administrative Agent and the Lenders, and neither the Borrower nor any other Obligor will have rights as a third</w:t>
        <w:noBreakHyphen/>
        <w:t>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12.02.</w:t>
      </w:r>
      <w:r>
        <w:rPr>
          <w:rFonts w:ascii="Times New Roman" w:hAnsi="Times New Roman"/>
          <w:color w:val="000000"/>
          <w:sz w:val="20"/>
        </w:rPr>
        <w:t xml:space="preserve"> </w:t>
      </w:r>
      <w:r>
        <w:rPr>
          <w:rFonts w:ascii="Times New Roman" w:hAnsi="Times New Roman"/>
          <w:i/>
          <w:color w:val="000000"/>
          <w:sz w:val="24"/>
        </w:rPr>
        <w:t>Rights as a Lender</w:t>
      </w:r>
      <w:r>
        <w:rPr>
          <w:rFonts w:ascii="Times New Roman" w:hAnsi="Times New Roman"/>
          <w:color w:val="000000"/>
          <w:sz w:val="24"/>
        </w:rPr>
        <w:t>. The Person serving as the Administrative Agent hereunder will have the same rights and powers in its capacity as 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 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12.03.</w:t>
      </w:r>
      <w:r>
        <w:rPr>
          <w:rFonts w:ascii="Times New Roman" w:hAnsi="Times New Roman"/>
          <w:color w:val="000000"/>
          <w:sz w:val="20"/>
        </w:rPr>
        <w:t xml:space="preserve"> </w:t>
      </w:r>
      <w:r>
        <w:rPr>
          <w:rFonts w:ascii="Times New Roman" w:hAnsi="Times New Roman"/>
          <w:i/>
          <w:color w:val="000000"/>
          <w:sz w:val="24"/>
        </w:rPr>
        <w:t>Exculpatory Provisions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 Administrative Agent will not have any duties or obligations except those expressly set forth herein and in the other Loan Documents, and its duties hereunder are administrative in nature. Without limiting the generality of the foregoing,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will not be subject to any fiduciary or other implied duties, regardless of whether a Default has occurred and is continuing;</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will not have any duty to take any discretionary action or exercise any discretionary powers, except discretionary rights and powers expressly contemplated hereby or by the other Loan Documents that the Administrative Agent is required to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exercise as directed in writing by the Majority Lenders (or such other number or percentage of the Lenders as will be expressly provided for herein or in the other Loan Documents);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Administrative Agent will not be required to take any action that, in its opinion or the opinion of its counsel, may expose the Administrative Agent to liability or that is contrary to any Loan Document or applicable Law, including any action that may be in violation of the automatic stay under any Insolvency Proceeding; and</w:t>
      </w:r>
    </w:p>
    <w:p>
      <w:pPr>
        <w:pStyle w:val="TextBody"/>
        <w:bidi w:val="0"/>
        <w:spacing w:before="28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w:t>
        <w:noBreakHyphen/>
        <w:t>appealable judgment. The Administrative Agent will be deemed not to have knowledge of any Default unless and until notice describing such Default is given to the Administrative Agent in writing by the Borrower or a Lender.</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12.04.</w:t>
      </w:r>
      <w:r>
        <w:rPr>
          <w:rFonts w:ascii="Times New Roman" w:hAnsi="Times New Roman"/>
          <w:color w:val="000000"/>
          <w:sz w:val="20"/>
        </w:rPr>
        <w:t xml:space="preserve"> </w:t>
      </w:r>
      <w:r>
        <w:rPr>
          <w:rFonts w:ascii="Times New Roman" w:hAnsi="Times New Roman"/>
          <w:i/>
          <w:color w:val="000000"/>
          <w:sz w:val="24"/>
        </w:rPr>
        <w:t>Reliance by Administrative Agent</w:t>
      </w:r>
      <w:r>
        <w:rPr>
          <w:rFonts w:ascii="Times New Roman" w:hAnsi="Times New Roman"/>
          <w:color w:val="000000"/>
          <w:sz w:val="24"/>
        </w:rPr>
        <w:t>. The Administrative Agent will be entitled to rely upon, and will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12.05.</w:t>
      </w:r>
      <w:r>
        <w:rPr>
          <w:rFonts w:ascii="Times New Roman" w:hAnsi="Times New Roman"/>
          <w:color w:val="000000"/>
          <w:sz w:val="20"/>
        </w:rPr>
        <w:t xml:space="preserve"> </w:t>
      </w:r>
      <w:r>
        <w:rPr>
          <w:rFonts w:ascii="Times New Roman" w:hAnsi="Times New Roman"/>
          <w:i/>
          <w:color w:val="000000"/>
          <w:sz w:val="24"/>
        </w:rPr>
        <w:t>Delegation of Duties</w:t>
      </w:r>
      <w:r>
        <w:rPr>
          <w:rFonts w:ascii="Times New Roman" w:hAnsi="Times New Roman"/>
          <w:color w:val="000000"/>
          <w:sz w:val="24"/>
        </w:rPr>
        <w:t>. The Administrative Agent may perform any and all of its duties and exercise its rights and powers hereunder or under any other Loan Document by or through any one or more sub</w:t>
        <w:noBreakHyphen/>
        <w:t>agents appointed by the Administrative Agent. The Administrative Agent and any such sub</w:t>
        <w:noBreakHyphen/>
        <w:t>agent may perform any and all of its duties and exercise its rights and powers by or through their respective Affiliates. The exculpatory provisions of this Article 12 will apply to any such sub</w:t>
        <w:noBreakHyphen/>
        <w:t>agent and to the Affiliates of the Administrative Agent and any such sub</w:t>
        <w:noBreakHyphen/>
        <w:t>agent, and will apply to their respective activities in connection with the syndication of the facility as well as activities as Administrative Agent. The Administrative Agent will not be responsible for the negligence or misconduct of any sub</w:t>
        <w:noBreakHyphen/>
        <w:t>agents except to the extent that a court of competent jurisdiction determines in a final and non</w:t>
        <w:noBreakHyphen/>
        <w:t>appealable judgment that the Administrative Agent acted with gross negligence or willful misconduct in the selection of such sub</w:t>
        <w:noBreakHyphen/>
        <w:t>agents.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12.06.</w:t>
      </w:r>
      <w:r>
        <w:rPr>
          <w:rFonts w:ascii="Times New Roman" w:hAnsi="Times New Roman"/>
          <w:color w:val="000000"/>
          <w:sz w:val="20"/>
        </w:rPr>
        <w:t xml:space="preserve"> </w:t>
      </w:r>
      <w:r>
        <w:rPr>
          <w:rFonts w:ascii="Times New Roman" w:hAnsi="Times New Roman"/>
          <w:i/>
          <w:color w:val="000000"/>
          <w:sz w:val="24"/>
        </w:rPr>
        <w:t>Resignation of Agent.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The Administrative Agent may at any time give notice of its resignation to the Lenders and the Borrower, which notice shall set forth the effective date of such resignation (the </w:t>
      </w:r>
      <w:r>
        <w:rPr>
          <w:rFonts w:ascii="Times New Roman" w:hAnsi="Times New Roman"/>
          <w:color w:val="000000"/>
          <w:sz w:val="20"/>
        </w:rPr>
        <w:t>“</w:t>
      </w:r>
      <w:r>
        <w:rPr>
          <w:rFonts w:ascii="Times New Roman" w:hAnsi="Times New Roman"/>
          <w:i/>
          <w:color w:val="000000"/>
          <w:sz w:val="24"/>
        </w:rPr>
        <w:t>Resignation Effective Date”</w:t>
      </w:r>
      <w:r>
        <w:rPr>
          <w:rFonts w:ascii="Times New Roman" w:hAnsi="Times New Roman"/>
          <w:color w:val="000000"/>
          <w:sz w:val="24"/>
        </w:rPr>
        <w:t>), such date not to be earlier than the thirtieth (30</w:t>
      </w:r>
      <w:r>
        <w:rPr>
          <w:rFonts w:ascii="Times New Roman" w:hAnsi="Times New Roman"/>
          <w:color w:val="000000"/>
          <w:sz w:val="16"/>
        </w:rPr>
        <w:t>th</w:t>
      </w:r>
      <w:r>
        <w:rPr>
          <w:rFonts w:ascii="Times New Roman" w:hAnsi="Times New Roman"/>
          <w:color w:val="000000"/>
          <w:sz w:val="24"/>
        </w:rPr>
        <w:t>) day following the date of such notice. The Majority Lenders and the Borrower shall mutually agree upon a successor to the Administrative Agent. If the Majority Lenders and the Borrower are unable to so mutually agree and no successor shall have been appointed within twenty</w:t>
        <w:noBreakHyphen/>
        <w:t>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Majority Lenders). Whether or not a successor has been appointed, such resignation will become effective in accordance with such notice on the Resignation Effective Date.</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 13.06 will continue in effect for the benefit of such retiring Administrative Agent, its sub</w:t>
        <w:noBreakHyphen/>
        <w:t>agents and their respective Affiliates in respect of any actions taken or omitted to be taken by any of them while the retiring Administrative Agent was acting as Administrative Agent.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12.07.</w:t>
      </w:r>
      <w:r>
        <w:rPr>
          <w:rFonts w:ascii="Times New Roman" w:hAnsi="Times New Roman"/>
          <w:color w:val="000000"/>
          <w:sz w:val="20"/>
        </w:rPr>
        <w:t xml:space="preserve"> </w:t>
      </w:r>
      <w:r>
        <w:rPr>
          <w:rFonts w:ascii="Times New Roman" w:hAnsi="Times New Roman"/>
          <w:i/>
          <w:color w:val="000000"/>
          <w:sz w:val="24"/>
        </w:rPr>
        <w:t>Non</w:t>
        <w:noBreakHyphen/>
        <w:t>Reliance on Administrative Agent and Other Lenders</w:t>
      </w:r>
      <w:r>
        <w:rPr>
          <w:rFonts w:ascii="Times New Roman" w:hAnsi="Times New Roman"/>
          <w:color w:val="000000"/>
          <w:sz w:val="24"/>
        </w:rPr>
        <w:t>. Each Lender acknowledges that it has, 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12.08.</w:t>
      </w:r>
      <w:r>
        <w:rPr>
          <w:rFonts w:ascii="Times New Roman" w:hAnsi="Times New Roman"/>
          <w:color w:val="000000"/>
          <w:sz w:val="20"/>
        </w:rPr>
        <w:t xml:space="preserve"> </w:t>
      </w:r>
      <w:r>
        <w:rPr>
          <w:rFonts w:ascii="Times New Roman" w:hAnsi="Times New Roman"/>
          <w:i/>
          <w:color w:val="000000"/>
          <w:sz w:val="24"/>
        </w:rPr>
        <w:t>Administrative Agent May File Proofs of Claim</w:t>
      </w:r>
      <w:r>
        <w:rPr>
          <w:rFonts w:ascii="Times New Roman" w:hAnsi="Times New Roman"/>
          <w:color w:val="000000"/>
          <w:sz w:val="24"/>
        </w:rPr>
        <w:t>. In case of the pendency of any Insolvency Proceeding or any other judicial proceeding relative to an Obligor, the Administrative Agent (irrespective of whether the principal of the Term Loans will then be due and payable as herein expressed or by declaration or otherwise and irrespective of whether the Administrative Agent has made any demand on an Obligor) will be entitled and empowered (but not obligated), by intervention in such proceeding or otherwise:</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to file and prove a Claim for the whole amount of the principal and interest owing and unpaid in respect of the Term Loans and all other Obligations that are owing and unpaid hereunder or under any other Loan Document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to collect and receive any monies or other property payable or deliverable on any such Claims and to distribute the same.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12.09.</w:t>
      </w:r>
      <w:r>
        <w:rPr>
          <w:rFonts w:ascii="Times New Roman" w:hAnsi="Times New Roman"/>
          <w:color w:val="000000"/>
          <w:sz w:val="20"/>
        </w:rPr>
        <w:t xml:space="preserve"> </w:t>
      </w:r>
      <w:r>
        <w:rPr>
          <w:rFonts w:ascii="Times New Roman" w:hAnsi="Times New Roman"/>
          <w:i/>
          <w:color w:val="000000"/>
          <w:sz w:val="24"/>
        </w:rPr>
        <w:t>Collateral and Guaranty Matters; Appointment of Collateral Agent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Without limiting the provisions of Section 12.08, the Lenders irrevocably agree as follows: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Administrative Agent is authorized, at its option and in its discretion, to release any Lien on any property granted to or held by the Administrative Agent under any Loan Document (A) on the date when all Obligations have been satisfied in full in cash (other than Warrant Obligations and contingent obligations as to which no Claims have been asserted), (B) that is sold or otherwise disposed of or to be sold or otherwise disposed of as part of or in connection with any sale or other disposition permitted under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Loan Documents, or (C) subject to Sections 13.01 and 13.04, if approved, authorized or ratified in writing by the Majority Lenders; and</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Administrative Agent is authorized, at its option and discretion, to release any Guarantor from its obligations hereunder if such Person ceases to be a Subsidiary as a result of a transaction permitted under the Loan Documents.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nor will the Administrative Agent be responsible or liable to the Lenders for any failure to monitor or maintain any portion of the Collateral.</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(iv) enter into non</w:t>
        <w:noBreakHyphen/>
        <w:t>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13</w:t>
        <w:br/>
        <w:br/>
        <w:t>Miscellaneous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13.01.</w:t>
      </w:r>
      <w:r>
        <w:rPr>
          <w:rFonts w:ascii="Times New Roman" w:hAnsi="Times New Roman"/>
          <w:color w:val="000000"/>
          <w:sz w:val="20"/>
        </w:rPr>
        <w:t xml:space="preserve"> </w:t>
      </w:r>
      <w:r>
        <w:rPr>
          <w:rFonts w:ascii="Times New Roman" w:hAnsi="Times New Roman"/>
          <w:i/>
          <w:color w:val="000000"/>
          <w:sz w:val="24"/>
        </w:rPr>
        <w:t>No Waiver.</w:t>
      </w:r>
      <w:r>
        <w:rPr>
          <w:rFonts w:ascii="Times New Roman" w:hAnsi="Times New Roman"/>
          <w:color w:val="000000"/>
          <w:sz w:val="20"/>
        </w:rPr>
        <w:t xml:space="preserve"> </w:t>
      </w:r>
      <w:r>
        <w:rPr>
          <w:rFonts w:ascii="Times New Roman" w:hAnsi="Times New Roman"/>
          <w:color w:val="000000"/>
          <w:sz w:val="24"/>
        </w:rPr>
        <w:t>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13.02.</w:t>
      </w:r>
      <w:r>
        <w:rPr>
          <w:rFonts w:ascii="Times New Roman" w:hAnsi="Times New Roman"/>
          <w:color w:val="000000"/>
          <w:sz w:val="20"/>
        </w:rPr>
        <w:t xml:space="preserve"> </w:t>
      </w:r>
      <w:r>
        <w:rPr>
          <w:rFonts w:ascii="Times New Roman" w:hAnsi="Times New Roman"/>
          <w:i/>
          <w:color w:val="000000"/>
          <w:sz w:val="24"/>
        </w:rPr>
        <w:t>Notices.</w:t>
      </w:r>
      <w:r>
        <w:rPr>
          <w:rFonts w:ascii="Times New Roman" w:hAnsi="Times New Roman"/>
          <w:color w:val="000000"/>
          <w:sz w:val="20"/>
        </w:rPr>
        <w:t xml:space="preserve"> </w:t>
      </w:r>
      <w:r>
        <w:rPr>
          <w:rFonts w:ascii="Times New Roman" w:hAnsi="Times New Roman"/>
          <w:color w:val="000000"/>
          <w:sz w:val="24"/>
        </w:rPr>
        <w:t>All notices, requests, instructions, directions and other communications provided for herein (including any modifications of, or waivers, requests or consents under, the Loan Documents) shall be given or made in writing (including by telecopy or electronic mail) delivered, if to the Borrower, another Obligor, the Administrative Agent or the Lenders, to its address specified on Schedule 2 hereto or its Guarantee Assumption Agreement, as the case may be, or at such other address as shall be designated by such party in a notice to the other parties. Except as otherwise provided in this Agreement, all such communications shall be deemed to have been duly given upon receipt of a legible copy thereof, in each case given or addressed as aforesaid.</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13.03.</w:t>
      </w:r>
      <w:r>
        <w:rPr>
          <w:rFonts w:ascii="Times New Roman" w:hAnsi="Times New Roman"/>
          <w:color w:val="000000"/>
          <w:sz w:val="20"/>
        </w:rPr>
        <w:t xml:space="preserve"> </w:t>
      </w:r>
      <w:r>
        <w:rPr>
          <w:rFonts w:ascii="Times New Roman" w:hAnsi="Times New Roman"/>
          <w:i/>
          <w:color w:val="000000"/>
          <w:sz w:val="24"/>
        </w:rPr>
        <w:t>Expenses, Indemnification, Etc</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 xml:space="preserve">Expenses. </w:t>
      </w:r>
      <w:r>
        <w:rPr>
          <w:rFonts w:ascii="Times New Roman" w:hAnsi="Times New Roman"/>
          <w:color w:val="000000"/>
          <w:sz w:val="24"/>
        </w:rPr>
        <w:t>Each Obligor agrees to pay or reimburse (i) the Administrative Agent and the Lenders for all of their reasonable and documented out of pocket costs and expenses (including the fees and expenses of Chapman and Cutler LLP, counsel to the Administrative Agent) in connection with (A) the negotiation, preparation, execution and delivery of this Agreement and the other Loan Documents and the making of the Term Loans (exclusive of post</w:t>
        <w:noBreakHyphen/>
        <w:t xml:space="preserve">closing costs);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so long as the Borrowing of the Tranche A Term Loan is made, such fees shall be credited against the Expense Deposit, (B) post</w:t>
        <w:noBreakHyphen/>
        <w:t>closing costs, and (C) the negotiation or preparation of any amendment, modification, supplement or waiver of any of the terms of this Agreement or any of the other Loan Documents (whether or not consummated) and (ii) the Administrative Agent and the Lenders for all of their reasonable and documented out of pocket costs and expenses (including the reasonable fees and expenses of legal counsel) in connection with any enforcement or collection proceedings resulting from the occurrence of an Event of Default.</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 xml:space="preserve">Indemnification. </w:t>
      </w:r>
      <w:r>
        <w:rPr>
          <w:rFonts w:ascii="Times New Roman" w:hAnsi="Times New Roman"/>
          <w:color w:val="000000"/>
          <w:sz w:val="24"/>
        </w:rPr>
        <w:t xml:space="preserve">Each Obligor hereby indemnifies the Administrative Agent, the Lenders, their respective Affiliates, and their respective directors, officers, employees, attorneys, agents and advisors (each, an </w:t>
      </w:r>
      <w:r>
        <w:rPr>
          <w:rFonts w:ascii="Times New Roman" w:hAnsi="Times New Roman"/>
          <w:color w:val="000000"/>
          <w:sz w:val="20"/>
        </w:rPr>
        <w:t>“</w:t>
      </w:r>
      <w:r>
        <w:rPr>
          <w:rFonts w:ascii="Times New Roman" w:hAnsi="Times New Roman"/>
          <w:i/>
          <w:color w:val="000000"/>
          <w:sz w:val="24"/>
        </w:rPr>
        <w:t>Indemnified Party”</w:t>
      </w:r>
      <w:r>
        <w:rPr>
          <w:rFonts w:ascii="Times New Roman" w:hAnsi="Times New Roman"/>
          <w:color w:val="000000"/>
          <w:sz w:val="24"/>
        </w:rPr>
        <w:t>) from and against, and agrees to hold them harmless against, any and all Claims and Losses of any kind (in the case of legal fees and disbursements, limited to reasonable fees and disbursements of one counsel to Indemnified Parties, taken as a whole and to the extent reasonably necessary, one local counsel in each relevant material jurisdiction and, in the event of an actual conflict of interest, one additional counsel for the affected similarly situated Indemnified Party),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is found in a final, non</w:t>
        <w:noBreakHyphen/>
        <w:t>appealable judgment by a court of competent jurisdiction to have resulted from any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apply to Taxes other than Taxes relating to a non</w:t>
        <w:noBreakHyphen/>
        <w:t>Tax Claim or Loss governed by this Section 13.03(b).</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13.04.</w:t>
      </w:r>
      <w:r>
        <w:rPr>
          <w:rFonts w:ascii="Times New Roman" w:hAnsi="Times New Roman"/>
          <w:color w:val="000000"/>
          <w:sz w:val="20"/>
        </w:rPr>
        <w:t xml:space="preserve"> </w:t>
      </w:r>
      <w:r>
        <w:rPr>
          <w:rFonts w:ascii="Times New Roman" w:hAnsi="Times New Roman"/>
          <w:i/>
          <w:color w:val="000000"/>
          <w:sz w:val="24"/>
        </w:rPr>
        <w:t>Amendments, Etc</w:t>
      </w:r>
      <w:r>
        <w:rPr>
          <w:rFonts w:ascii="Times New Roman" w:hAnsi="Times New Roman"/>
          <w:color w:val="000000"/>
          <w:sz w:val="24"/>
        </w:rPr>
        <w:t xml:space="preserve">. Except as otherwise expressly provided in this Agreement, any provision of this Agreement or any other Loan Document (except for the Warrant Certificate, which may be amended, modified, waived or supplemented in accordance with the terms thereof) may be amended, modified, waived or supplemented only by an instrument in writing signed by Obligors, the Administrative Agent and the Majority Lenders;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 amendment, waiver or consent shall, unless in writing and signed by all of the Lenders, do any of the following at any time:</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change the number of Lenders or the percentage of (A) the Commitments or (B) the aggregate unpaid principal amount of the Term Loans that, in each case, shall be required for the Lenders or any of them to take any action hereunder (including pursuant to any change to the definition of </w:t>
      </w:r>
      <w:r>
        <w:rPr>
          <w:rFonts w:ascii="Times New Roman" w:hAnsi="Times New Roman"/>
          <w:color w:val="000000"/>
          <w:sz w:val="20"/>
        </w:rPr>
        <w:t>“</w:t>
      </w:r>
      <w:r>
        <w:rPr>
          <w:rFonts w:ascii="Times New Roman" w:hAnsi="Times New Roman"/>
          <w:i/>
          <w:color w:val="000000"/>
          <w:sz w:val="24"/>
        </w:rPr>
        <w:t>Majority Lenders”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pStyle w:val="TextBody"/>
        <w:bidi w:val="0"/>
        <w:spacing w:before="28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release, or subordinate the Lenders’ Liens in, all or substantially all of the Collateral in any transaction or series of related transactions (other than in connection with any sale of Collateral permitted herein); or</w:t>
      </w:r>
    </w:p>
    <w:p>
      <w:pPr>
        <w:pStyle w:val="TextBody"/>
        <w:bidi w:val="0"/>
        <w:spacing w:before="28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amend any provision of this Section 13.04.</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No amendment, waiver or consent shall, unless in writing and signed by each Lender specified below for such amendment, waiver or consent:</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increase the Commitments of a Lender without the consent of such Lender;</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reduce the principal of, or stated rate of interest on, or any Prepayment Premium payable on, the Term Loans owed to a Lender or any fees or other amounts stated to be payable hereunder or under the other Loan Documents to such Lender without the consent of such Lender;</w:t>
      </w:r>
    </w:p>
    <w:p>
      <w:pPr>
        <w:pStyle w:val="TextBody"/>
        <w:bidi w:val="0"/>
        <w:spacing w:before="28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w:t>
      </w:r>
    </w:p>
    <w:p>
      <w:pPr>
        <w:pStyle w:val="TextBody"/>
        <w:bidi w:val="0"/>
        <w:spacing w:before="28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change the order of application of prepayment of the Term Loans from the application thereof set forth in the applicable provisions of Sections 4.01(b) and (c) in any manner that adversely affects the Lenders without the consent of holders of a majority of the Commitments or Term Loans outstanding or otherwise change any provision requiring the pro rata distributions hereunder among the Lenders without all Lenders’ consent; or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modify Section 2.02 without the consent of each Lender directly and adversely affected thereby.</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13.05.</w:t>
      </w:r>
      <w:r>
        <w:rPr>
          <w:rFonts w:ascii="Times New Roman" w:hAnsi="Times New Roman"/>
          <w:color w:val="000000"/>
          <w:sz w:val="20"/>
        </w:rPr>
        <w:t xml:space="preserve"> </w:t>
      </w:r>
      <w:r>
        <w:rPr>
          <w:rFonts w:ascii="Times New Roman" w:hAnsi="Times New Roman"/>
          <w:i/>
          <w:color w:val="000000"/>
          <w:sz w:val="24"/>
        </w:rPr>
        <w:t>Successors and Assigns</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w:t>
      </w:r>
      <w:r>
        <w:rPr>
          <w:rFonts w:ascii="Times New Roman" w:hAnsi="Times New Roman"/>
          <w:color w:val="000000"/>
          <w:sz w:val="20"/>
        </w:rPr>
        <w:t xml:space="preserve"> </w:t>
      </w:r>
      <w:r>
        <w:rPr>
          <w:rFonts w:ascii="Times New Roman" w:hAnsi="Times New Roman"/>
          <w:color w:val="000000"/>
          <w:sz w:val="24"/>
        </w:rPr>
        <w:t>The provisions of this Agreement shall be binding upon and inure to the benefit of the parties 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 (e) of this Section 13.05) and, to the extent expressly contemplated hereby, the Indemnified Parties of the Lenders) any legal or equitable right, remedy or Claim under or by reason of this Agreement.</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Amendments to Loan Documents.</w:t>
      </w:r>
      <w:r>
        <w:rPr>
          <w:rFonts w:ascii="Times New Roman" w:hAnsi="Times New Roman"/>
          <w:color w:val="000000"/>
          <w:sz w:val="20"/>
        </w:rPr>
        <w:t xml:space="preserve"> </w:t>
      </w:r>
      <w:r>
        <w:rPr>
          <w:rFonts w:ascii="Times New Roman" w:hAnsi="Times New Roman"/>
          <w:color w:val="000000"/>
          <w:sz w:val="24"/>
        </w:rPr>
        <w:t>Each of the Lenders and the Obligors agrees to enter into such 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Assignments by Lenders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Assignments shall be subject to the following additional conditions:</w:t>
      </w:r>
    </w:p>
    <w:p>
      <w:pPr>
        <w:pStyle w:val="TextBody"/>
        <w:bidi w:val="0"/>
        <w:spacing w:before="32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not be less than $500,000, unless the Administrative Agent otherwise consents;</w:t>
      </w:r>
      <w:r>
        <w:rPr>
          <w:rFonts w:ascii="Times New Roman" w:hAnsi="Times New Roman"/>
          <w:color w:val="000000"/>
          <w:sz w:val="20"/>
        </w:rPr>
        <w:t xml:space="preserve"> </w:t>
      </w:r>
    </w:p>
    <w:p>
      <w:pPr>
        <w:pStyle w:val="TextBody"/>
        <w:bidi w:val="0"/>
        <w:spacing w:before="32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each partial assignment shall be made as an assignment of a proportionate part of all the assigning Lender’s rights and obligations under this Agreement and the other Loan Documents; and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32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parties to each assignment shall execute and deliver to the Administrative Agent an Assignment Agreement in form and substance reasonably satisfactory to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w:t>
      </w:r>
    </w:p>
    <w:p>
      <w:pPr>
        <w:pStyle w:val="TextBody"/>
        <w:bidi w:val="0"/>
        <w:spacing w:before="280"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Register.</w:t>
      </w:r>
      <w:r>
        <w:rPr>
          <w:rFonts w:ascii="Times New Roman" w:hAnsi="Times New Roman"/>
          <w:color w:val="000000"/>
          <w:sz w:val="20"/>
        </w:rPr>
        <w:t xml:space="preserve"> </w:t>
      </w:r>
      <w:r>
        <w:rPr>
          <w:rFonts w:ascii="Times New Roman" w:hAnsi="Times New Roman"/>
          <w:color w:val="000000"/>
          <w:sz w:val="24"/>
        </w:rPr>
        <w:t>The Administrative Agent, acting for this purpose as a non</w:t>
        <w:noBreakHyphen/>
        <w:t>fiduciary agent of the Borrower, shall 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 w:hAnsi="Times New Roman"/>
          <w:i/>
          <w:color w:val="000000"/>
          <w:sz w:val="24"/>
        </w:rPr>
        <w:t>Register</w:t>
      </w:r>
      <w:r>
        <w:rPr>
          <w:rFonts w:ascii="Times New Roman" w:hAnsi="Times New Roman"/>
          <w:color w:val="000000"/>
          <w:sz w:val="20"/>
        </w:rPr>
        <w:t>”</w:t>
      </w:r>
      <w:r>
        <w:rPr>
          <w:rFonts w:ascii="Times New Roman" w:hAnsi="Times New Roman"/>
          <w:color w:val="000000"/>
          <w:sz w:val="24"/>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(c) of this Section 13.05 has been obtained.</w:t>
      </w:r>
    </w:p>
    <w:p>
      <w:pPr>
        <w:pStyle w:val="TextBody"/>
        <w:bidi w:val="0"/>
        <w:spacing w:before="280" w:after="283"/>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Participations.</w:t>
      </w:r>
      <w:r>
        <w:rPr>
          <w:rFonts w:ascii="Times New Roman" w:hAnsi="Times New Roman"/>
          <w:color w:val="000000"/>
          <w:sz w:val="20"/>
        </w:rPr>
        <w:t xml:space="preserve"> </w:t>
      </w:r>
      <w:r>
        <w:rPr>
          <w:rFonts w:ascii="Times New Roman" w:hAnsi="Times New Roman"/>
          <w:color w:val="000000"/>
          <w:sz w:val="24"/>
        </w:rPr>
        <w:t>Any Lender may at any time, without the consent of, or notice to, the Borrower, sell participations to any Person (a “</w:t>
      </w:r>
      <w:r>
        <w:rPr>
          <w:rFonts w:ascii="Times New Roman" w:hAnsi="Times New Roman"/>
          <w:i/>
          <w:color w:val="000000"/>
          <w:sz w:val="24"/>
        </w:rPr>
        <w:t>Participant</w:t>
      </w:r>
      <w:r>
        <w:rPr>
          <w:rFonts w:ascii="Times New Roman" w:hAnsi="Times New Roman"/>
          <w:color w:val="000000"/>
          <w:sz w:val="20"/>
        </w:rPr>
        <w:t>”</w:t>
      </w:r>
      <w:r>
        <w:rPr>
          <w:rFonts w:ascii="Times New Roman" w:hAnsi="Times New Roman"/>
          <w:color w:val="000000"/>
          <w:sz w:val="24"/>
        </w:rPr>
        <w:t xml:space="preserve">), other than an Ineligible Assignee, in all or a portion of such Lender’s rights and obligations under the Loan Documents (including all or a portion of its Commitment and the Term Loans owing to it);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 such Lender’s obligations under the Loan Documents shall remain unchanged, (ii) such Lender shall remain solely responsible to the other parties hereto for the performance of such obligations and (iii) the Borrower shall continue to deal solely and directly with such Lender in connection therewith.</w:t>
      </w:r>
    </w:p>
    <w:p>
      <w:pPr>
        <w:pStyle w:val="TextBody"/>
        <w:bidi w:val="0"/>
        <w:spacing w:before="280" w:after="283"/>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entitled to receive such interest. The Borrower agrees that each Participant shall be entitled to the benefits of Section 5.03 (subject to the requirements and limitations therein, including the requirements under Section 5.03(f) (it being understood that the documentation required under Section 5.03(f) shall be delivered to the Borrower and the participating Lender)) to the same extent as if it were a Lender and had acquired its interest by assignment pursuant to Section 13.05(a), </w:t>
      </w:r>
      <w:r>
        <w:rPr>
          <w:rFonts w:ascii="Times New Roman" w:hAnsi="Times New Roman"/>
          <w:i/>
          <w:color w:val="000000"/>
          <w:sz w:val="24"/>
        </w:rPr>
        <w:t xml:space="preserve">provided </w:t>
      </w:r>
      <w:r>
        <w:rPr>
          <w:rFonts w:ascii="Times New Roman" w:hAnsi="Times New Roman"/>
          <w:color w:val="000000"/>
          <w:sz w:val="24"/>
        </w:rPr>
        <w:t>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w:t>
        <w:noBreakHyphen/>
        <w:t xml:space="preserve">fiduciary agent of the Borrower, maintain a register on which it enters the name and address of each Participant and the principal amounts (and stated interest) of each Participant’s interest in the Term Loans or other obligations under the Loan Documents (the </w:t>
      </w:r>
      <w:r>
        <w:rPr>
          <w:rFonts w:ascii="Times New Roman" w:hAnsi="Times New Roman"/>
          <w:color w:val="000000"/>
          <w:sz w:val="20"/>
        </w:rPr>
        <w:t>“</w:t>
      </w:r>
      <w:r>
        <w:rPr>
          <w:rFonts w:ascii="Times New Roman" w:hAnsi="Times New Roman"/>
          <w:i/>
          <w:color w:val="000000"/>
          <w:sz w:val="24"/>
        </w:rPr>
        <w:t>Participant Register”</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noBreakHyphen/>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280" w:after="283"/>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Certain Pledges.</w:t>
      </w:r>
      <w:r>
        <w:rPr>
          <w:rFonts w:ascii="Times New Roman" w:hAnsi="Times New Roman"/>
          <w:color w:val="000000"/>
          <w:sz w:val="20"/>
        </w:rPr>
        <w:t xml:space="preserve"> </w:t>
      </w:r>
      <w:r>
        <w:rPr>
          <w:rFonts w:ascii="Times New Roman" w:hAnsi="Times New Roman"/>
          <w:color w:val="000000"/>
          <w:sz w:val="24"/>
        </w:rPr>
        <w:t xml:space="preserve">The Lenders may at any time pledge or assign a security interest in all or any portion of its rights under this Agreement and any other Loan Document to secure obligations of the Lenders, including any pledge or assignment to secure obligations to a Federal Reserve Bank or another central bank; </w:t>
      </w:r>
      <w:r>
        <w:rPr>
          <w:rFonts w:ascii="Times New Roman" w:hAnsi="Times New Roman"/>
          <w:i/>
          <w:color w:val="000000"/>
          <w:sz w:val="24"/>
        </w:rPr>
        <w:t xml:space="preserve">provided </w:t>
      </w:r>
      <w:r>
        <w:rPr>
          <w:rFonts w:ascii="Times New Roman" w:hAnsi="Times New Roman"/>
          <w:color w:val="000000"/>
          <w:sz w:val="24"/>
        </w:rPr>
        <w:t>that no such pledge or assignment shall release the Lenders from any of their obligations hereunder or substitute any such pledgee or assignee for the Lenders as a party hereto.</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13.06.</w:t>
      </w:r>
      <w:r>
        <w:rPr>
          <w:rFonts w:ascii="Times New Roman" w:hAnsi="Times New Roman"/>
          <w:color w:val="000000"/>
          <w:sz w:val="20"/>
        </w:rPr>
        <w:t xml:space="preserve"> </w:t>
      </w:r>
      <w:r>
        <w:rPr>
          <w:rFonts w:ascii="Times New Roman" w:hAnsi="Times New Roman"/>
          <w:i/>
          <w:color w:val="000000"/>
          <w:sz w:val="24"/>
        </w:rPr>
        <w:t>Survival.</w:t>
      </w:r>
      <w:r>
        <w:rPr>
          <w:rFonts w:ascii="Times New Roman" w:hAnsi="Times New Roman"/>
          <w:color w:val="000000"/>
          <w:sz w:val="20"/>
        </w:rPr>
        <w:t xml:space="preserve"> </w:t>
      </w:r>
      <w:r>
        <w:rPr>
          <w:rFonts w:ascii="Times New Roman" w:hAnsi="Times New Roman"/>
          <w:color w:val="000000"/>
          <w:sz w:val="24"/>
        </w:rPr>
        <w:t>The obligations of each Obligor under Sections 5.01, 5.02, 5.03, 13.03, 13.05, 13.09, 13.10, 13.11, 13.12, 13.13, 13.14 and 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13.07.</w:t>
      </w:r>
      <w:r>
        <w:rPr>
          <w:rFonts w:ascii="Times New Roman" w:hAnsi="Times New Roman"/>
          <w:color w:val="000000"/>
          <w:sz w:val="20"/>
        </w:rPr>
        <w:t xml:space="preserve"> </w:t>
      </w:r>
      <w:r>
        <w:rPr>
          <w:rFonts w:ascii="Times New Roman" w:hAnsi="Times New Roman"/>
          <w:i/>
          <w:color w:val="000000"/>
          <w:sz w:val="24"/>
        </w:rPr>
        <w:t>Captions.</w:t>
      </w:r>
      <w:r>
        <w:rPr>
          <w:rFonts w:ascii="Times New Roman" w:hAnsi="Times New Roman"/>
          <w:color w:val="000000"/>
          <w:sz w:val="20"/>
        </w:rPr>
        <w:t xml:space="preserve"> </w:t>
      </w:r>
      <w:r>
        <w:rPr>
          <w:rFonts w:ascii="Times New Roman" w:hAnsi="Times New Roman"/>
          <w:color w:val="000000"/>
          <w:sz w:val="24"/>
        </w:rPr>
        <w:t>The table of contents and captions and section headings appearing herein are included solely for convenience of reference and are not intended to affect the interpretation of any provision of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13.08.</w:t>
      </w:r>
      <w:r>
        <w:rPr>
          <w:rFonts w:ascii="Times New Roman" w:hAnsi="Times New Roman"/>
          <w:color w:val="000000"/>
          <w:sz w:val="20"/>
        </w:rPr>
        <w:t xml:space="preserve"> </w:t>
      </w:r>
      <w:r>
        <w:rPr>
          <w:rFonts w:ascii="Times New Roman" w:hAnsi="Times New Roman"/>
          <w:i/>
          <w:color w:val="000000"/>
          <w:sz w:val="24"/>
        </w:rPr>
        <w:t>Counterparts.</w:t>
      </w:r>
      <w:r>
        <w:rPr>
          <w:rFonts w:ascii="Times New Roman" w:hAnsi="Times New Roman"/>
          <w:color w:val="000000"/>
          <w:sz w:val="20"/>
        </w:rPr>
        <w:t xml:space="preserve"> </w:t>
      </w:r>
      <w:r>
        <w:rPr>
          <w:rFonts w:ascii="Times New Roman" w:hAnsi="Times New Roman"/>
          <w:color w:val="000000"/>
          <w:sz w:val="24"/>
        </w:rPr>
        <w:t>This Agreement may be executed in any number of counterparts, all of which taken together shall constitute one and the same instrument and any of the parties hereto may execute this Agreement by signing any such counterpart. Delivery of an executed signature page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13.09.</w:t>
      </w:r>
      <w:r>
        <w:rPr>
          <w:rFonts w:ascii="Times New Roman" w:hAnsi="Times New Roman"/>
          <w:color w:val="000000"/>
          <w:sz w:val="20"/>
        </w:rPr>
        <w:t xml:space="preserve"> </w:t>
      </w:r>
      <w:r>
        <w:rPr>
          <w:rFonts w:ascii="Times New Roman" w:hAnsi="Times New Roman"/>
          <w:i/>
          <w:color w:val="000000"/>
          <w:sz w:val="24"/>
        </w:rPr>
        <w:t>GOVERNING LAW.</w:t>
      </w:r>
      <w:r>
        <w:rPr>
          <w:rFonts w:ascii="Times New Roman" w:hAnsi="Times New Roman"/>
          <w:color w:val="000000"/>
          <w:sz w:val="20"/>
        </w:rPr>
        <w:t xml:space="preserve"> </w:t>
      </w:r>
      <w:r>
        <w:rPr>
          <w:rFonts w:ascii="Times New Roman" w:hAnsi="Times New Roman"/>
          <w:color w:val="000000"/>
          <w:sz w:val="24"/>
        </w:rPr>
        <w:t>THIS AGREEMENT AND THE OTHER LOAN DOCUMENTS, THE RIGHTS AND 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13.10.</w:t>
      </w:r>
      <w:r>
        <w:rPr>
          <w:rFonts w:ascii="Times New Roman" w:hAnsi="Times New Roman"/>
          <w:color w:val="000000"/>
          <w:sz w:val="20"/>
        </w:rPr>
        <w:t xml:space="preserve"> </w:t>
      </w:r>
      <w:r>
        <w:rPr>
          <w:rFonts w:ascii="Times New Roman" w:hAnsi="Times New Roman"/>
          <w:i/>
          <w:color w:val="000000"/>
          <w:sz w:val="24"/>
        </w:rPr>
        <w:t>Jurisdiction, Service of Process and Venue</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aps/>
          <w:color w:val="000000"/>
          <w:sz w:val="24"/>
        </w:rPr>
        <w:t>Submission to Jurisdiction.</w:t>
      </w:r>
      <w:r>
        <w:rPr>
          <w:rFonts w:ascii="Times New Roman" w:hAnsi="Times New Roman"/>
          <w:caps/>
          <w:color w:val="000000"/>
          <w:sz w:val="20"/>
        </w:rPr>
        <w:t xml:space="preserve"> </w:t>
      </w:r>
      <w:r>
        <w:rPr>
          <w:rFonts w:ascii="Times New Roman" w:hAnsi="Times New Roman"/>
          <w:caps/>
          <w:color w:val="000000"/>
          <w:sz w:val="24"/>
        </w:rPr>
        <w:t>Each Obligor agrees that any suit, action or 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Alternative Process.</w:t>
      </w:r>
      <w:r>
        <w:rPr>
          <w:rFonts w:ascii="Times New Roman" w:hAnsi="Times New Roman"/>
          <w:color w:val="000000"/>
          <w:sz w:val="20"/>
        </w:rPr>
        <w:t xml:space="preserve"> </w:t>
      </w:r>
      <w:r>
        <w:rPr>
          <w:rFonts w:ascii="Times New Roman" w:hAnsi="Times New Roman"/>
          <w:color w:val="000000"/>
          <w:sz w:val="24"/>
        </w:rPr>
        <w:t>Nothing herein shall in any way be deemed to limit the ability of the Lenders to serve any such process or summonses in any other manner permitted by applicable Law.</w:t>
      </w:r>
    </w:p>
    <w:p>
      <w:pPr>
        <w:pStyle w:val="TextBody"/>
        <w:bidi w:val="0"/>
        <w:spacing w:before="280" w:after="283"/>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aps/>
          <w:color w:val="000000"/>
          <w:sz w:val="24"/>
        </w:rPr>
        <w:t>Waiver of Venue, Etc.</w:t>
      </w:r>
      <w:r>
        <w:rPr>
          <w:rFonts w:ascii="Times New Roman" w:hAnsi="Times New Roman"/>
          <w:caps/>
          <w:color w:val="000000"/>
          <w:sz w:val="20"/>
        </w:rPr>
        <w:t xml:space="preserve"> </w:t>
      </w:r>
      <w:r>
        <w:rPr>
          <w:rFonts w:ascii="Times New Roman" w:hAnsi="Times New Roman"/>
          <w:caps/>
          <w:color w:val="000000"/>
          <w:sz w:val="24"/>
        </w:rPr>
        <w:t>Each Obligor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13.11.</w:t>
      </w:r>
      <w:r>
        <w:rPr>
          <w:rFonts w:ascii="Times New Roman" w:hAnsi="Times New Roman"/>
          <w:color w:val="000000"/>
          <w:sz w:val="20"/>
        </w:rPr>
        <w:t xml:space="preserve"> </w:t>
      </w:r>
      <w:r>
        <w:rPr>
          <w:rFonts w:ascii="Times New Roman" w:hAnsi="Times New Roman"/>
          <w:i/>
          <w:color w:val="000000"/>
          <w:sz w:val="24"/>
        </w:rPr>
        <w:t>WAIVER OF JURY TRIAL</w:t>
      </w:r>
      <w:r>
        <w:rPr>
          <w:rFonts w:ascii="Times New Roman" w:hAnsi="Times New Roman"/>
          <w:color w:val="000000"/>
          <w:sz w:val="24"/>
        </w:rPr>
        <w:t>.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13.12.</w:t>
      </w:r>
      <w:r>
        <w:rPr>
          <w:rFonts w:ascii="Times New Roman" w:hAnsi="Times New Roman"/>
          <w:color w:val="000000"/>
          <w:sz w:val="20"/>
        </w:rPr>
        <w:t xml:space="preserve"> </w:t>
      </w:r>
      <w:r>
        <w:rPr>
          <w:rFonts w:ascii="Times New Roman" w:hAnsi="Times New Roman"/>
          <w:i/>
          <w:smallCaps/>
          <w:color w:val="000000"/>
          <w:sz w:val="24"/>
        </w:rPr>
        <w:t>WAIVER OF IMMUNITY</w:t>
      </w:r>
      <w:r>
        <w:rPr>
          <w:rFonts w:ascii="Times New Roman" w:hAnsi="Times New Roman"/>
          <w:color w:val="000000"/>
          <w:sz w:val="24"/>
        </w:rPr>
        <w:t>.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13.13.</w:t>
      </w:r>
      <w:r>
        <w:rPr>
          <w:rFonts w:ascii="Times New Roman" w:hAnsi="Times New Roman"/>
          <w:color w:val="000000"/>
          <w:sz w:val="20"/>
        </w:rPr>
        <w:t xml:space="preserve"> </w:t>
      </w:r>
      <w:r>
        <w:rPr>
          <w:rFonts w:ascii="Times New Roman" w:hAnsi="Times New Roman"/>
          <w:i/>
          <w:color w:val="000000"/>
          <w:sz w:val="24"/>
        </w:rPr>
        <w:t>Entire Agreement.</w:t>
      </w:r>
      <w:r>
        <w:rPr>
          <w:rFonts w:ascii="Times New Roman" w:hAnsi="Times New Roman"/>
          <w:color w:val="000000"/>
          <w:sz w:val="20"/>
        </w:rPr>
        <w:t xml:space="preserve"> </w:t>
      </w:r>
      <w:r>
        <w:rPr>
          <w:rFonts w:ascii="Times New Roman" w:hAnsi="Times New Roman"/>
          <w:color w:val="000000"/>
          <w:sz w:val="24"/>
        </w:rPr>
        <w:t>This Agreement and the other Loan Documents constitute the entire agreement among the 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13.14.</w:t>
      </w:r>
      <w:r>
        <w:rPr>
          <w:rFonts w:ascii="Times New Roman" w:hAnsi="Times New Roman"/>
          <w:color w:val="000000"/>
          <w:sz w:val="20"/>
        </w:rPr>
        <w:t xml:space="preserve"> </w:t>
      </w:r>
      <w:r>
        <w:rPr>
          <w:rFonts w:ascii="Times New Roman" w:hAnsi="Times New Roman"/>
          <w:i/>
          <w:color w:val="000000"/>
          <w:sz w:val="24"/>
        </w:rPr>
        <w:t>Severability.</w:t>
      </w:r>
      <w:r>
        <w:rPr>
          <w:rFonts w:ascii="Times New Roman" w:hAnsi="Times New Roman"/>
          <w:color w:val="000000"/>
          <w:sz w:val="20"/>
        </w:rPr>
        <w:t xml:space="preserve"> </w:t>
      </w:r>
      <w:r>
        <w:rPr>
          <w:rFonts w:ascii="Times New Roman" w:hAnsi="Times New Roman"/>
          <w:color w:val="000000"/>
          <w:sz w:val="24"/>
        </w:rPr>
        <w:t>If any provision hereof is found by a court to be invalid or unenforceable, to the fullest extent permitted by applicable Law the parties agree that such invalidity or unenforceability shall not impair the validity or enforceability of any other provision hereof.</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13.15.</w:t>
      </w:r>
      <w:r>
        <w:rPr>
          <w:rFonts w:ascii="Times New Roman" w:hAnsi="Times New Roman"/>
          <w:color w:val="000000"/>
          <w:sz w:val="20"/>
        </w:rPr>
        <w:t xml:space="preserve"> </w:t>
      </w:r>
      <w:r>
        <w:rPr>
          <w:rFonts w:ascii="Times New Roman" w:hAnsi="Times New Roman"/>
          <w:i/>
          <w:color w:val="000000"/>
          <w:sz w:val="24"/>
        </w:rPr>
        <w:t xml:space="preserve">No Fiduciary Relationship. </w:t>
      </w:r>
      <w:r>
        <w:rPr>
          <w:rFonts w:ascii="Times New Roman" w:hAnsi="Times New Roman"/>
          <w:color w:val="000000"/>
          <w:sz w:val="24"/>
        </w:rPr>
        <w:t xml:space="preserve">The Administrative Agent, each Lender and their Affiliates (collectively, solely for purposes of this paragraph, the </w:t>
      </w:r>
      <w:r>
        <w:rPr>
          <w:rFonts w:ascii="Times New Roman" w:hAnsi="Times New Roman"/>
          <w:color w:val="000000"/>
          <w:sz w:val="20"/>
        </w:rPr>
        <w:t>“</w:t>
      </w:r>
      <w:r>
        <w:rPr>
          <w:rFonts w:ascii="Times New Roman" w:hAnsi="Times New Roman"/>
          <w:i/>
          <w:color w:val="000000"/>
          <w:sz w:val="24"/>
        </w:rPr>
        <w:t>Lenders”</w:t>
      </w:r>
      <w:r>
        <w:rPr>
          <w:rFonts w:ascii="Times New Roman" w:hAnsi="Times New Roman"/>
          <w:color w:val="000000"/>
          <w:sz w:val="24"/>
        </w:rPr>
        <w:t xml:space="preserve">), may have economic interests that conflict with those of the Obligors, their stockholders or equity holders and/or their Affiliates (collectively, solely for purposes of this paragraph, the </w:t>
      </w:r>
      <w:r>
        <w:rPr>
          <w:rFonts w:ascii="Times New Roman" w:hAnsi="Times New Roman"/>
          <w:color w:val="000000"/>
          <w:sz w:val="20"/>
        </w:rPr>
        <w:t>“</w:t>
      </w:r>
      <w:r>
        <w:rPr>
          <w:rFonts w:ascii="Times New Roman" w:hAnsi="Times New Roman"/>
          <w:i/>
          <w:color w:val="000000"/>
          <w:sz w:val="24"/>
        </w:rPr>
        <w:t>Obligors”</w:t>
      </w:r>
      <w:r>
        <w:rPr>
          <w:rFonts w:ascii="Times New Roman" w:hAnsi="Times New Roman"/>
          <w:color w:val="000000"/>
          <w:sz w:val="24"/>
        </w:rPr>
        <w:t>).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13.16.</w:t>
      </w:r>
      <w:r>
        <w:rPr>
          <w:rFonts w:ascii="Times New Roman" w:hAnsi="Times New Roman"/>
          <w:color w:val="000000"/>
          <w:sz w:val="20"/>
        </w:rPr>
        <w:t xml:space="preserve"> </w:t>
      </w:r>
      <w:r>
        <w:rPr>
          <w:rFonts w:ascii="Times New Roman" w:hAnsi="Times New Roman"/>
          <w:i/>
          <w:color w:val="000000"/>
          <w:sz w:val="24"/>
        </w:rPr>
        <w:t>USA Patriot Act</w:t>
      </w:r>
      <w:r>
        <w:rPr>
          <w:rFonts w:ascii="Times New Roman" w:hAnsi="Times New Roman"/>
          <w:color w:val="000000"/>
          <w:sz w:val="24"/>
        </w:rPr>
        <w:t xml:space="preserve">. The Administrative Agent and the Lenders hereby notify the Obligors that pursuant to the requirements of the </w:t>
      </w:r>
      <w:r>
        <w:rPr>
          <w:rFonts w:ascii="Times New Roman" w:hAnsi="Times New Roman"/>
          <w:caps/>
          <w:color w:val="000000"/>
          <w:sz w:val="24"/>
        </w:rPr>
        <w:t>USA Patriot</w:t>
      </w:r>
      <w:r>
        <w:rPr>
          <w:rFonts w:ascii="Times New Roman" w:hAnsi="Times New Roman"/>
          <w:color w:val="000000"/>
          <w:sz w:val="20"/>
        </w:rPr>
        <w:t xml:space="preserve"> </w:t>
      </w:r>
      <w:r>
        <w:rPr>
          <w:rFonts w:ascii="Times New Roman" w:hAnsi="Times New Roman"/>
          <w:color w:val="000000"/>
          <w:sz w:val="24"/>
        </w:rPr>
        <w:t>Act (Title III of Pub. L. 107</w:t>
        <w:noBreakHyphen/>
        <w:t xml:space="preserve">56 (signed into law October 26, 2001)) (the </w:t>
      </w:r>
      <w:r>
        <w:rPr>
          <w:rFonts w:ascii="Times New Roman" w:hAnsi="Times New Roman"/>
          <w:color w:val="000000"/>
          <w:sz w:val="20"/>
        </w:rPr>
        <w:t>“</w:t>
      </w:r>
      <w:r>
        <w:rPr>
          <w:rFonts w:ascii="Times New Roman" w:hAnsi="Times New Roman"/>
          <w:i/>
          <w:color w:val="000000"/>
          <w:sz w:val="24"/>
        </w:rPr>
        <w:t>Act”</w:t>
      </w:r>
      <w:r>
        <w:rPr>
          <w:rFonts w:ascii="Times New Roman" w:hAnsi="Times New Roman"/>
          <w:color w:val="000000"/>
          <w:sz w:val="24"/>
        </w:rPr>
        <w:t>) and 31 C.F.R. § 1010.230 (the “</w:t>
      </w:r>
      <w:r>
        <w:rPr>
          <w:rFonts w:ascii="Times New Roman" w:hAnsi="Times New Roman"/>
          <w:i/>
          <w:color w:val="000000"/>
          <w:sz w:val="24"/>
        </w:rPr>
        <w:t>Beneficial Ownership Regulation</w:t>
      </w:r>
      <w:r>
        <w:rPr>
          <w:rFonts w:ascii="Times New Roman" w:hAnsi="Times New Roman"/>
          <w:color w:val="000000"/>
          <w:sz w:val="20"/>
        </w:rPr>
        <w:t>”</w:t>
      </w:r>
      <w:r>
        <w:rPr>
          <w:rFonts w:ascii="Times New Roman" w:hAnsi="Times New Roman"/>
          <w:color w:val="000000"/>
          <w:sz w:val="24"/>
        </w:rPr>
        <w:t>), they are required to obtain, verify and record information that identifies the Obligors, which information includes the name and address of each Obligor and other information that will allow the Administrative Agent and such Lender to identify each Obligor in accordance with the Act and Beneficial Ownership Regulation, including a beneficial ownership certification in form and substance acceptable to the Administrative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13.17.</w:t>
      </w:r>
      <w:r>
        <w:rPr>
          <w:rFonts w:ascii="Times New Roman" w:hAnsi="Times New Roman"/>
          <w:color w:val="000000"/>
          <w:sz w:val="20"/>
        </w:rPr>
        <w:t xml:space="preserve"> </w:t>
      </w:r>
      <w:r>
        <w:rPr>
          <w:rFonts w:ascii="Times New Roman" w:hAnsi="Times New Roman"/>
          <w:i/>
          <w:color w:val="000000"/>
          <w:sz w:val="24"/>
        </w:rPr>
        <w:t>Treatment of Certain Information; Confidentiality.</w:t>
      </w:r>
      <w:r>
        <w:rPr>
          <w:rFonts w:ascii="Times New Roman" w:hAnsi="Times New Roman"/>
          <w:color w:val="000000"/>
          <w:sz w:val="20"/>
        </w:rPr>
        <w:t xml:space="preserve"> </w:t>
      </w:r>
      <w:r>
        <w:rPr>
          <w:rFonts w:ascii="Times New Roman" w:hAnsi="Times New Roman"/>
          <w:color w:val="000000"/>
          <w:sz w:val="24"/>
        </w:rPr>
        <w:t>The Lenders agree to maintain the confidentiality of the Information (as defined below), except that Information may be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disclosed to (a) its Affiliates and to its and its Affiliates’ respective partners, directors, officers, employees, agents, trustees, advisors and representatives (collectively, </w:t>
      </w:r>
      <w:r>
        <w:rPr>
          <w:rFonts w:ascii="Times New Roman" w:hAnsi="Times New Roman"/>
          <w:color w:val="000000"/>
          <w:sz w:val="20"/>
        </w:rPr>
        <w:t>“</w:t>
      </w:r>
      <w:r>
        <w:rPr>
          <w:rFonts w:ascii="Times New Roman" w:hAnsi="Times New Roman"/>
          <w:i/>
          <w:color w:val="000000"/>
          <w:sz w:val="24"/>
        </w:rPr>
        <w:t>Representatives”</w:t>
      </w:r>
      <w:r>
        <w:rPr>
          <w:rFonts w:ascii="Times New Roman" w:hAnsi="Times New Roman"/>
          <w:color w:val="000000"/>
          <w:sz w:val="24"/>
        </w:rPr>
        <w: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w:t>
        <w:noBreakHyphen/>
        <w:t xml:space="preserve">regulatory authority, such as FINRA or the National Association of Insurance Commissioners) or any exchange, (c) to the extent required by the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13.17, to (i) any assignee of or Participant in, or any prospective assignee of or Participant in, any of its rights or obligations under this Agreement or (ii) any actual or prospective counterparty (or its advisors) to any swap or derivative transaction relating to the Borrower or any Guarantor and its obligation, (g) with the consent of the Borrower or (h) to the extent such Information (i) becomes publicly available other than as a result of a breach of this Section 13.17 or (ii) becomes available to the Lender, or any of its respective Representatives on a nonconfidential basis from a source other than the Borrower or any other Obligor. For purposes of this Section 13.17, </w:t>
      </w:r>
      <w:r>
        <w:rPr>
          <w:rFonts w:ascii="Times New Roman" w:hAnsi="Times New Roman"/>
          <w:color w:val="000000"/>
          <w:sz w:val="20"/>
        </w:rPr>
        <w:t>“</w:t>
      </w:r>
      <w:r>
        <w:rPr>
          <w:rFonts w:ascii="Times New Roman" w:hAnsi="Times New Roman"/>
          <w:i/>
          <w:color w:val="000000"/>
          <w:sz w:val="24"/>
        </w:rPr>
        <w:t>Information”</w:t>
      </w:r>
      <w:r>
        <w:rPr>
          <w:rFonts w:ascii="Times New Roman" w:hAnsi="Times New Roman"/>
          <w:color w:val="000000"/>
          <w:sz w:val="20"/>
        </w:rPr>
        <w:t xml:space="preserve"> </w:t>
      </w:r>
      <w:r>
        <w:rPr>
          <w:rFonts w:ascii="Times New Roman" w:hAnsi="Times New Roman"/>
          <w:color w:val="000000"/>
          <w:sz w:val="24"/>
        </w:rPr>
        <w:t>means all information received from an Obligor relating to such Obligor or its Subsidiary or any of their respective businesses, except that the term “Information” shall not include, and the Lenders shall not be subject to any confidentiality 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or its Representatives, is not subject to a confidentiality obligation to such Obligor, (C) is or becomes publicly available other than as a result of a breach by such Lender or its Representatives, or (D) is developed by a Lender or any of its Representatives independently from the receipt of any Information from any of the Obligors.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the case of any Lender that has elected to receive material non</w:t>
        <w:noBreakHyphen/>
        <w:t>public information pursuant to Section 8.02, such Lender acknowledges that (a) the Information may include material non</w:t>
        <w:noBreakHyphen/>
        <w:t>public information concerning an Obligor or its Subsidiary, as the case may be, (b) it has developed compliance procedures regarding the use of material non</w:t>
        <w:noBreakHyphen/>
        <w:t>public information and (c) it will handle such material non</w:t>
        <w:noBreakHyphen/>
        <w:t>public information in accordance with applicable Law, including United States federal and state securities Laws.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13.18.</w:t>
      </w:r>
      <w:r>
        <w:rPr>
          <w:rFonts w:ascii="Times New Roman" w:hAnsi="Times New Roman"/>
          <w:color w:val="000000"/>
          <w:sz w:val="20"/>
        </w:rPr>
        <w:t xml:space="preserve"> </w:t>
      </w:r>
      <w:r>
        <w:rPr>
          <w:rFonts w:ascii="Times New Roman" w:hAnsi="Times New Roman"/>
          <w:i/>
          <w:color w:val="000000"/>
          <w:sz w:val="24"/>
        </w:rPr>
        <w:t>Releases of Guarantees and Liens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 (ii) under the circumstances described in paragraph (b) below.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At such time as the Term Loans and the other Obligations (other than the inchoate indemnity obligations and the Warrant Obligations) under the Loan Documents shall have been paid in full in cash and the Commitments have been terminated, the 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pStyle w:val="TextBody"/>
        <w:bidi w:val="0"/>
        <w:spacing w:before="280" w:after="283"/>
        <w:jc w:val="center"/>
        <w:rPr>
          <w:rFonts w:ascii="Times New Roman" w:hAnsi="Times New Roman"/>
          <w:i/>
          <w:color w:val="000000"/>
          <w:sz w:val="24"/>
        </w:rPr>
      </w:pPr>
      <w:r>
        <w:rPr>
          <w:rFonts w:ascii="Times New Roman" w:hAnsi="Times New Roman"/>
          <w:i/>
          <w:color w:val="000000"/>
          <w:sz w:val="24"/>
        </w:rPr>
        <w:t>[Remainder of the Page Intentionally Left Blank; Signature Pages Follow]</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280" w:after="283"/>
        <w:jc w:val="both"/>
        <w:rPr>
          <w:rFonts w:ascii="Times New Roman" w:hAnsi="Times New Roman"/>
          <w:sz w:val="20"/>
        </w:rPr>
      </w:pPr>
      <w:r>
        <w:rPr>
          <w:rFonts w:ascii="Times New Roman" w:hAnsi="Times New Roman"/>
          <w:smallCaps/>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hereto have caused this Agreement to be duly executed and delivered as of the day and year first above written.</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Borrower:</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AVITA Medical, Inc.</w:t>
      </w:r>
    </w:p>
    <w:p>
      <w:pPr>
        <w:pStyle w:val="TextBody"/>
        <w:bidi w:val="0"/>
        <w:spacing w:before="56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Guarantor:</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Avita Medical Americas, LLC</w:t>
      </w:r>
    </w:p>
    <w:p>
      <w:pPr>
        <w:pStyle w:val="TextBody"/>
        <w:bidi w:val="0"/>
        <w:spacing w:before="56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Perceptive Credit Holdings V, LP</w:t>
      </w:r>
    </w:p>
    <w:p>
      <w:pPr>
        <w:pStyle w:val="TextBody"/>
        <w:bidi w:val="0"/>
        <w:jc w:val="left"/>
        <w:rPr>
          <w:rFonts w:ascii="Times New Roman" w:hAnsi="Times New Roman"/>
          <w:color w:val="000000"/>
          <w:sz w:val="24"/>
        </w:rPr>
      </w:pPr>
      <w:r>
        <w:rPr>
          <w:rFonts w:ascii="Times New Roman" w:hAnsi="Times New Roman"/>
          <w:color w:val="000000"/>
          <w:sz w:val="24"/>
        </w:rPr>
        <w:t>as Administrative Agent and a Lender</w:t>
      </w:r>
    </w:p>
    <w:p>
      <w:pPr>
        <w:pStyle w:val="TextBody"/>
        <w:bidi w:val="0"/>
        <w:spacing w:before="280" w:after="283"/>
        <w:jc w:val="left"/>
        <w:rPr>
          <w:rFonts w:ascii="Times New Roman" w:hAnsi="Times New Roman"/>
          <w:sz w:val="20"/>
        </w:rPr>
      </w:pPr>
      <w:r>
        <w:rPr>
          <w:rFonts w:ascii="Times New Roman" w:hAnsi="Times New Roman"/>
          <w:smallCaps/>
          <w:color w:val="000000"/>
          <w:sz w:val="24"/>
        </w:rPr>
        <w:t>B</w:t>
      </w:r>
      <w:r>
        <w:rPr>
          <w:rFonts w:ascii="Times New Roman" w:hAnsi="Times New Roman"/>
          <w:color w:val="000000"/>
          <w:sz w:val="24"/>
        </w:rPr>
        <w:t>y: Perceptive Credit Opportunities GP, LLC, its general partner</w:t>
      </w:r>
    </w:p>
    <w:p>
      <w:pPr>
        <w:pStyle w:val="TextBody"/>
        <w:bidi w:val="0"/>
        <w:spacing w:before="5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br/>
        <w:t>Name: Sam Cohn</w:t>
        <w:br/>
        <w:t>Title: Chief Financial Officer</w:t>
      </w:r>
      <w:r>
        <w:rPr>
          <w:rFonts w:ascii="Times New Roman" w:hAnsi="Times New Roman"/>
          <w:color w:val="000000"/>
          <w:sz w:val="20"/>
        </w:rPr>
        <w:t xml:space="preserve"> </w:t>
      </w:r>
    </w:p>
    <w:p>
      <w:pPr>
        <w:pStyle w:val="TextBody"/>
        <w:bidi w:val="0"/>
        <w:spacing w:before="5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br/>
        <w:t>Name: Sam Chawla</w:t>
        <w:br/>
        <w:t>Title: Portfolio Manager</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Schedule 1</w:t>
        <w:br/>
        <w:t xml:space="preserve">to </w:t>
        <w:br/>
        <w:t>Credit Agreement</w:t>
      </w:r>
    </w:p>
    <w:p>
      <w:pPr>
        <w:pStyle w:val="TextBody"/>
        <w:bidi w:val="0"/>
        <w:spacing w:before="360" w:after="283"/>
        <w:jc w:val="center"/>
        <w:rPr>
          <w:rFonts w:ascii="Times New Roman" w:hAnsi="Times New Roman"/>
          <w:b/>
          <w:caps/>
          <w:color w:val="000000"/>
          <w:sz w:val="24"/>
        </w:rPr>
      </w:pPr>
      <w:r>
        <w:rPr>
          <w:rFonts w:ascii="Times New Roman" w:hAnsi="Times New Roman"/>
          <w:b/>
          <w:caps/>
          <w:color w:val="000000"/>
          <w:sz w:val="24"/>
        </w:rPr>
        <w:t>Tranche A Term Loan Commitments</w:t>
      </w:r>
    </w:p>
    <w:tbl>
      <w:tblPr>
        <w:tblW w:w="9082" w:type="dxa"/>
        <w:jc w:val="left"/>
        <w:tblInd w:w="0" w:type="dxa"/>
        <w:tblLayout w:type="fixed"/>
        <w:tblCellMar>
          <w:top w:w="28" w:type="dxa"/>
          <w:left w:w="28" w:type="dxa"/>
          <w:bottom w:w="28" w:type="dxa"/>
          <w:right w:w="28" w:type="dxa"/>
        </w:tblCellMar>
      </w:tblPr>
      <w:tblGrid>
        <w:gridCol w:w="5031"/>
        <w:gridCol w:w="4051"/>
      </w:tblGrid>
      <w:tr>
        <w:trPr/>
        <w:tc>
          <w:tcPr>
            <w:tcW w:w="503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50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smallCaps/>
                <w:color w:val="000000"/>
                <w:sz w:val="24"/>
              </w:rPr>
            </w:pPr>
            <w:r>
              <w:rPr>
                <w:rFonts w:ascii="Times New Roman" w:hAnsi="Times New Roman"/>
                <w:smallCaps/>
                <w:color w:val="000000"/>
                <w:sz w:val="24"/>
              </w:rPr>
              <w:t>Lender</w:t>
            </w:r>
          </w:p>
        </w:tc>
        <w:tc>
          <w:tcPr>
            <w:tcW w:w="405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smallCaps/>
                <w:color w:val="000000"/>
                <w:sz w:val="24"/>
              </w:rPr>
            </w:pPr>
            <w:r>
              <w:rPr>
                <w:rFonts w:ascii="Times New Roman" w:hAnsi="Times New Roman"/>
                <w:smallCaps/>
                <w:color w:val="000000"/>
                <w:sz w:val="24"/>
              </w:rPr>
              <w:t>Tranche A Term Loan Commitment</w:t>
            </w:r>
          </w:p>
        </w:tc>
      </w:tr>
      <w:tr>
        <w:trPr/>
        <w:tc>
          <w:tcPr>
            <w:tcW w:w="5031" w:type="dxa"/>
            <w:tcBorders/>
            <w:tcMar>
              <w:top w:w="0" w:type="dxa"/>
              <w:left w:w="0" w:type="dxa"/>
              <w:bottom w:w="0" w:type="dxa"/>
              <w:right w:w="0" w:type="dxa"/>
            </w:tcMar>
            <w:vAlign w:val="center"/>
          </w:tcPr>
          <w:p>
            <w:pPr>
              <w:pStyle w:val="TableContents"/>
              <w:bidi w:val="0"/>
              <w:spacing w:before="200" w:after="283"/>
              <w:ind w:left="0" w:right="0" w:firstLine="1700"/>
              <w:jc w:val="left"/>
              <w:rPr>
                <w:rFonts w:ascii="Times New Roman" w:hAnsi="Times New Roman"/>
                <w:color w:val="000000"/>
                <w:sz w:val="24"/>
              </w:rPr>
            </w:pPr>
            <w:r>
              <w:rPr>
                <w:rFonts w:ascii="Times New Roman" w:hAnsi="Times New Roman"/>
                <w:color w:val="000000"/>
                <w:sz w:val="24"/>
              </w:rPr>
              <w:t>Perceptive Credit Holdings V, LP</w:t>
            </w:r>
          </w:p>
        </w:tc>
        <w:tc>
          <w:tcPr>
            <w:tcW w:w="4051" w:type="dxa"/>
            <w:tcBorders/>
            <w:tcMar>
              <w:top w:w="0" w:type="dxa"/>
              <w:left w:w="0" w:type="dxa"/>
              <w:bottom w:w="0" w:type="dxa"/>
              <w:right w:w="0" w:type="dxa"/>
            </w:tcMar>
            <w:vAlign w:val="center"/>
          </w:tcPr>
          <w:p>
            <w:pPr>
              <w:pStyle w:val="TableContents"/>
              <w:bidi w:val="0"/>
              <w:spacing w:before="200" w:after="283"/>
              <w:ind w:left="0" w:right="0" w:firstLine="1700"/>
              <w:jc w:val="right"/>
              <w:rPr>
                <w:rFonts w:ascii="Times New Roman" w:hAnsi="Times New Roman"/>
                <w:color w:val="000000"/>
                <w:sz w:val="24"/>
              </w:rPr>
            </w:pPr>
            <w:r>
              <w:rPr>
                <w:rFonts w:ascii="Times New Roman" w:hAnsi="Times New Roman"/>
                <w:color w:val="000000"/>
                <w:sz w:val="24"/>
              </w:rPr>
              <w:t>$50,000,000</w:t>
            </w:r>
          </w:p>
        </w:tc>
      </w:tr>
      <w:tr>
        <w:trPr/>
        <w:tc>
          <w:tcPr>
            <w:tcW w:w="50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mallCaps/>
                <w:color w:val="000000"/>
                <w:sz w:val="24"/>
              </w:rPr>
            </w:pPr>
            <w:r>
              <w:rPr>
                <w:rFonts w:ascii="Times New Roman" w:hAnsi="Times New Roman"/>
                <w:smallCaps/>
                <w:color w:val="000000"/>
                <w:sz w:val="24"/>
              </w:rPr>
              <w:t>Total</w:t>
            </w:r>
          </w:p>
        </w:tc>
        <w:tc>
          <w:tcPr>
            <w:tcW w:w="4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$50,000,000</w:t>
            </w:r>
          </w:p>
        </w:tc>
      </w:tr>
    </w:tbl>
    <w:p>
      <w:pPr>
        <w:pStyle w:val="TextBody"/>
        <w:bidi w:val="0"/>
        <w:spacing w:before="360" w:after="283"/>
        <w:jc w:val="left"/>
        <w:rPr/>
      </w:pPr>
      <w:r>
        <w:rPr/>
        <w:t> </w:t>
      </w:r>
    </w:p>
    <w:p>
      <w:pPr>
        <w:pStyle w:val="TextBody"/>
        <w:bidi w:val="0"/>
        <w:spacing w:before="360" w:after="283"/>
        <w:jc w:val="center"/>
        <w:rPr>
          <w:rFonts w:ascii="Times New Roman" w:hAnsi="Times New Roman"/>
          <w:b/>
          <w:caps/>
          <w:color w:val="000000"/>
          <w:sz w:val="24"/>
        </w:rPr>
      </w:pPr>
      <w:r>
        <w:rPr>
          <w:rFonts w:ascii="Times New Roman" w:hAnsi="Times New Roman"/>
          <w:b/>
          <w:caps/>
          <w:color w:val="000000"/>
          <w:sz w:val="24"/>
        </w:rPr>
        <w:t>Tranche B Term Loan Commitments</w:t>
      </w:r>
    </w:p>
    <w:tbl>
      <w:tblPr>
        <w:tblW w:w="9066" w:type="dxa"/>
        <w:jc w:val="left"/>
        <w:tblInd w:w="0" w:type="dxa"/>
        <w:tblLayout w:type="fixed"/>
        <w:tblCellMar>
          <w:top w:w="28" w:type="dxa"/>
          <w:left w:w="28" w:type="dxa"/>
          <w:bottom w:w="28" w:type="dxa"/>
          <w:right w:w="28" w:type="dxa"/>
        </w:tblCellMar>
      </w:tblPr>
      <w:tblGrid>
        <w:gridCol w:w="5031"/>
        <w:gridCol w:w="1464"/>
        <w:gridCol w:w="2571"/>
      </w:tblGrid>
      <w:tr>
        <w:trPr/>
        <w:tc>
          <w:tcPr>
            <w:tcW w:w="503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5031" w:type="dxa"/>
            <w:tcBorders/>
            <w:tcMar>
              <w:top w:w="0" w:type="dxa"/>
              <w:left w:w="0" w:type="dxa"/>
              <w:bottom w:w="0" w:type="dxa"/>
              <w:right w:w="0" w:type="dxa"/>
            </w:tcMar>
            <w:vAlign w:val="center"/>
          </w:tcPr>
          <w:p>
            <w:pPr>
              <w:pStyle w:val="TableContents"/>
              <w:bidi w:val="0"/>
              <w:spacing w:before="280" w:after="283"/>
              <w:jc w:val="center"/>
              <w:rPr>
                <w:rFonts w:ascii="Times New Roman" w:hAnsi="Times New Roman"/>
                <w:smallCaps/>
                <w:color w:val="000000"/>
                <w:sz w:val="24"/>
              </w:rPr>
            </w:pPr>
            <w:r>
              <w:rPr>
                <w:rFonts w:ascii="Times New Roman" w:hAnsi="Times New Roman"/>
                <w:smallCaps/>
                <w:color w:val="000000"/>
                <w:sz w:val="24"/>
              </w:rPr>
              <w:t>Lender</w:t>
            </w:r>
          </w:p>
        </w:tc>
        <w:tc>
          <w:tcPr>
            <w:tcW w:w="4035" w:type="dxa"/>
            <w:gridSpan w:val="2"/>
            <w:tcBorders/>
            <w:tcMar>
              <w:top w:w="0" w:type="dxa"/>
              <w:left w:w="0" w:type="dxa"/>
              <w:bottom w:w="0" w:type="dxa"/>
              <w:right w:w="0" w:type="dxa"/>
            </w:tcMar>
            <w:vAlign w:val="center"/>
          </w:tcPr>
          <w:p>
            <w:pPr>
              <w:pStyle w:val="TableContents"/>
              <w:bidi w:val="0"/>
              <w:spacing w:before="280" w:after="283"/>
              <w:jc w:val="center"/>
              <w:rPr>
                <w:rFonts w:ascii="Times New Roman" w:hAnsi="Times New Roman"/>
                <w:smallCaps/>
                <w:color w:val="000000"/>
                <w:sz w:val="24"/>
              </w:rPr>
            </w:pPr>
            <w:r>
              <w:rPr>
                <w:rFonts w:ascii="Times New Roman" w:hAnsi="Times New Roman"/>
                <w:smallCaps/>
                <w:color w:val="000000"/>
                <w:sz w:val="24"/>
              </w:rPr>
              <w:t>Tranche B Term Loan Commitment</w:t>
            </w:r>
          </w:p>
        </w:tc>
      </w:tr>
      <w:tr>
        <w:trPr/>
        <w:tc>
          <w:tcPr>
            <w:tcW w:w="5031" w:type="dxa"/>
            <w:tcBorders/>
            <w:tcMar>
              <w:top w:w="0" w:type="dxa"/>
              <w:left w:w="0" w:type="dxa"/>
              <w:bottom w:w="0" w:type="dxa"/>
              <w:right w:w="0" w:type="dxa"/>
            </w:tcMar>
            <w:vAlign w:val="center"/>
          </w:tcPr>
          <w:p>
            <w:pPr>
              <w:pStyle w:val="TableContents"/>
              <w:bidi w:val="0"/>
              <w:spacing w:before="200" w:after="283"/>
              <w:ind w:left="0" w:right="0" w:firstLine="1700"/>
              <w:jc w:val="left"/>
              <w:rPr>
                <w:rFonts w:ascii="Times New Roman" w:hAnsi="Times New Roman"/>
                <w:color w:val="000000"/>
                <w:sz w:val="24"/>
              </w:rPr>
            </w:pPr>
            <w:r>
              <w:rPr>
                <w:rFonts w:ascii="Times New Roman" w:hAnsi="Times New Roman"/>
                <w:color w:val="000000"/>
                <w:sz w:val="24"/>
              </w:rPr>
              <w:t>Perceptive Credit Holdings V, LP</w:t>
            </w:r>
          </w:p>
        </w:tc>
        <w:tc>
          <w:tcPr>
            <w:tcW w:w="4035" w:type="dxa"/>
            <w:gridSpan w:val="2"/>
            <w:tcBorders/>
            <w:tcMar>
              <w:top w:w="0" w:type="dxa"/>
              <w:left w:w="0" w:type="dxa"/>
              <w:bottom w:w="0" w:type="dxa"/>
              <w:right w:w="0" w:type="dxa"/>
            </w:tcMar>
            <w:vAlign w:val="center"/>
          </w:tcPr>
          <w:p>
            <w:pPr>
              <w:pStyle w:val="TableContents"/>
              <w:bidi w:val="0"/>
              <w:spacing w:before="200" w:after="283"/>
              <w:ind w:left="0" w:right="0" w:firstLine="1700"/>
              <w:jc w:val="right"/>
              <w:rPr>
                <w:rFonts w:ascii="Times New Roman" w:hAnsi="Times New Roman"/>
                <w:color w:val="000000"/>
                <w:sz w:val="24"/>
              </w:rPr>
            </w:pPr>
            <w:r>
              <w:rPr>
                <w:rFonts w:ascii="Times New Roman" w:hAnsi="Times New Roman"/>
                <w:color w:val="000000"/>
                <w:sz w:val="24"/>
              </w:rPr>
              <w:t>$10,000,000</w:t>
            </w:r>
          </w:p>
        </w:tc>
      </w:tr>
      <w:tr>
        <w:trPr/>
        <w:tc>
          <w:tcPr>
            <w:tcW w:w="50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mallCaps/>
                <w:color w:val="000000"/>
                <w:sz w:val="24"/>
              </w:rPr>
            </w:pPr>
            <w:r>
              <w:rPr>
                <w:rFonts w:ascii="Times New Roman" w:hAnsi="Times New Roman"/>
                <w:smallCaps/>
                <w:color w:val="000000"/>
                <w:sz w:val="24"/>
              </w:rPr>
              <w:t>Total</w:t>
            </w:r>
          </w:p>
        </w:tc>
        <w:tc>
          <w:tcPr>
            <w:tcW w:w="403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$10,000,000</w:t>
            </w:r>
          </w:p>
        </w:tc>
      </w:tr>
      <w:tr>
        <w:trPr/>
        <w:tc>
          <w:tcPr>
            <w:tcW w:w="5031" w:type="dxa"/>
            <w:tcBorders/>
            <w:tcMar>
              <w:top w:w="0" w:type="dxa"/>
              <w:left w:w="0" w:type="dxa"/>
              <w:bottom w:w="0" w:type="dxa"/>
              <w:right w:w="0" w:type="dxa"/>
            </w:tcMar>
            <w:vAlign w:val="center"/>
          </w:tcPr>
          <w:p>
            <w:pPr>
              <w:pStyle w:val="TableContents"/>
              <w:bidi w:val="0"/>
              <w:spacing w:before="0" w:after="283"/>
              <w:jc w:val="right"/>
              <w:rPr/>
            </w:pPr>
            <w:r>
              <w:rPr/>
              <w:t> </w:t>
            </w:r>
          </w:p>
        </w:tc>
        <w:tc>
          <w:tcPr>
            <w:tcW w:w="4035"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center"/>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pPr>
      <w:r>
        <w:rPr/>
        <w:drawing>
          <wp:inline distT="0" distB="0" distL="0" distR="0">
            <wp:extent cx="6305550" cy="815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305550" cy="81534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pPr>
      <w:r>
        <w:rPr/>
        <w:drawing>
          <wp:inline distT="0" distB="0" distL="0" distR="0">
            <wp:extent cx="6305550" cy="8153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305550" cy="81534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657975" cy="9410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57975" cy="941070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9601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960120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81468</Words>
  <Characters>433006</Characters>
  <CharactersWithSpaces>513862</CharactersWithSpaces>
  <Paragraphs>5307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