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68580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83185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-3175</wp:posOffset>
            </wp:positionV>
            <wp:extent cx="51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1395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1395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AVITA MEDICAL, INC.</w:t>
      </w:r>
    </w:p>
    <w:p>
      <w:pPr>
        <w:spacing w:after="0" w:line="63" w:lineRule="exact"/>
        <w:rPr>
          <w:sz w:val="24"/>
          <w:szCs w:val="24"/>
          <w:color w:val="auto"/>
        </w:rPr>
      </w:pPr>
    </w:p>
    <w:tbl>
      <w:tblPr>
        <w:tblLayout w:type="fixed"/>
        <w:tblInd w:w="200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94"/>
        </w:trPr>
        <w:tc>
          <w:tcPr>
            <w:tcW w:w="1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r>
      <w:tr>
        <w:trPr>
          <w:trHeight w:val="284"/>
        </w:trPr>
        <w:tc>
          <w:tcPr>
            <w:tcW w:w="17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200" w:type="dxa"/>
            <w:vAlign w:val="bottom"/>
            <w:gridSpan w:val="3"/>
          </w:tcPr>
          <w:p>
            <w:pPr>
              <w:jc w:val="center"/>
              <w:ind w:left="4145"/>
              <w:spacing w:after="0"/>
              <w:rPr>
                <w:sz w:val="20"/>
                <w:szCs w:val="20"/>
                <w:color w:val="auto"/>
              </w:rPr>
            </w:pPr>
            <w:r>
              <w:rPr>
                <w:rFonts w:ascii="Times New Roman" w:cs="Times New Roman" w:eastAsia="Times New Roman" w:hAnsi="Times New Roman"/>
                <w:sz w:val="16"/>
                <w:szCs w:val="16"/>
                <w:b w:val="1"/>
                <w:bCs w:val="1"/>
                <w:color w:val="auto"/>
              </w:rPr>
              <w:t>85-1021707</w:t>
            </w:r>
          </w:p>
        </w:tc>
      </w:tr>
      <w:tr>
        <w:trPr>
          <w:trHeight w:val="148"/>
        </w:trPr>
        <w:tc>
          <w:tcPr>
            <w:tcW w:w="1720" w:type="dxa"/>
            <w:vAlign w:val="bottom"/>
          </w:tcPr>
          <w:p>
            <w:pPr>
              <w:jc w:val="center"/>
              <w:ind w:right="11"/>
              <w:spacing w:after="0" w:line="147"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7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80" w:type="dxa"/>
            <w:vAlign w:val="bottom"/>
          </w:tcPr>
          <w:p>
            <w:pPr>
              <w:jc w:val="center"/>
              <w:ind w:left="1137"/>
              <w:spacing w:after="0" w:line="147"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70"/>
        </w:trPr>
        <w:tc>
          <w:tcPr>
            <w:tcW w:w="1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w w:val="99"/>
              </w:rPr>
              <w:t>28159 Avenue Stanford</w:t>
            </w:r>
          </w:p>
        </w:tc>
      </w:tr>
      <w:tr>
        <w:trPr>
          <w:trHeight w:val="202"/>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Suite 220</w:t>
            </w:r>
          </w:p>
        </w:tc>
      </w:tr>
      <w:tr>
        <w:trPr>
          <w:trHeight w:val="198"/>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37"/>
              <w:spacing w:after="0"/>
              <w:rPr>
                <w:sz w:val="20"/>
                <w:szCs w:val="20"/>
                <w:color w:val="auto"/>
              </w:rPr>
            </w:pPr>
            <w:r>
              <w:rPr>
                <w:rFonts w:ascii="Times New Roman" w:cs="Times New Roman" w:eastAsia="Times New Roman" w:hAnsi="Times New Roman"/>
                <w:sz w:val="16"/>
                <w:szCs w:val="16"/>
                <w:b w:val="1"/>
                <w:bCs w:val="1"/>
                <w:color w:val="auto"/>
                <w:w w:val="99"/>
              </w:rPr>
              <w:t>Valencia, CA 91355</w:t>
            </w:r>
          </w:p>
        </w:tc>
      </w:tr>
      <w:tr>
        <w:trPr>
          <w:trHeight w:val="166"/>
        </w:trPr>
        <w:tc>
          <w:tcPr>
            <w:tcW w:w="1720" w:type="dxa"/>
            <w:vAlign w:val="bottom"/>
          </w:tcPr>
          <w:p>
            <w:pPr>
              <w:spacing w:after="0"/>
              <w:rPr>
                <w:sz w:val="14"/>
                <w:szCs w:val="14"/>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and Zip Code)</w:t>
            </w:r>
          </w:p>
        </w:tc>
      </w:tr>
    </w:tbl>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4360" w:type="dxa"/>
            <w:vAlign w:val="bottom"/>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6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4"/>
                <w:szCs w:val="14"/>
                <w:color w:val="auto"/>
              </w:rPr>
            </w:pPr>
          </w:p>
        </w:tc>
        <w:tc>
          <w:tcPr>
            <w:tcW w:w="2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20" w:type="dxa"/>
            <w:vAlign w:val="bottom"/>
          </w:tcPr>
          <w:p>
            <w:pPr>
              <w:spacing w:after="0"/>
              <w:rPr>
                <w:sz w:val="14"/>
                <w:szCs w:val="14"/>
                <w:color w:val="auto"/>
              </w:rPr>
            </w:pPr>
          </w:p>
        </w:tc>
        <w:tc>
          <w:tcPr>
            <w:tcW w:w="43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07"/>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RCEL</w:t>
            </w:r>
          </w:p>
        </w:tc>
        <w:tc>
          <w:tcPr>
            <w:tcW w:w="120" w:type="dxa"/>
            <w:vAlign w:val="bottom"/>
          </w:tcPr>
          <w:p>
            <w:pPr>
              <w:spacing w:after="0"/>
              <w:rPr>
                <w:sz w:val="17"/>
                <w:szCs w:val="17"/>
                <w:color w:val="auto"/>
              </w:rPr>
            </w:pPr>
          </w:p>
        </w:tc>
        <w:tc>
          <w:tcPr>
            <w:tcW w:w="436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71"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24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3" w:right="339" w:bottom="1440" w:gutter="0" w:footer="0" w:header="0"/>
        </w:sectPr>
      </w:pP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1400"/>
              <w:spacing w:after="0"/>
              <w:rPr>
                <w:sz w:val="20"/>
                <w:szCs w:val="20"/>
                <w:color w:val="auto"/>
              </w:rPr>
            </w:pPr>
            <w:r>
              <w:rPr>
                <w:rFonts w:ascii="Times New Roman" w:cs="Times New Roman" w:eastAsia="Times New Roman" w:hAnsi="Times New Roman"/>
                <w:sz w:val="16"/>
                <w:szCs w:val="16"/>
                <w:color w:val="auto"/>
                <w:w w:val="99"/>
              </w:rPr>
              <w:t>Smaller reporting company</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spacing w:after="0"/>
              <w:rPr>
                <w:sz w:val="24"/>
                <w:szCs w:val="24"/>
                <w:color w:val="auto"/>
              </w:rPr>
            </w:pPr>
          </w:p>
        </w:tc>
      </w:tr>
    </w:tbl>
    <w:p>
      <w:pPr>
        <w:spacing w:after="0" w:line="34"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12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$0.0001, outstanding as of August 4, 2024 was 25,989,699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00" w:space="340"/>
            <w:col w:w="200"/>
          </w:cols>
          <w:pgMar w:left="320" w:top="9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40" w:type="dxa"/>
            <w:vAlign w:val="bottom"/>
            <w:gridSpan w:val="10"/>
          </w:tcPr>
          <w:p>
            <w:pPr>
              <w:ind w:left="1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5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SPECIAL NOTE REGARDING FORWARD-LOOKING STATEMENT</w:t>
            </w:r>
          </w:p>
        </w:tc>
        <w:tc>
          <w:tcPr>
            <w:tcW w:w="40" w:type="dxa"/>
            <w:vAlign w:val="bottom"/>
            <w:tcBorders>
              <w:bottom w:val="single" w:sz="8" w:color="0000EE"/>
            </w:tcBorders>
          </w:tcPr>
          <w:p>
            <w:pPr>
              <w:spacing w:after="0"/>
              <w:rPr>
                <w:sz w:val="24"/>
                <w:szCs w:val="24"/>
                <w:color w:val="auto"/>
              </w:rPr>
            </w:pPr>
          </w:p>
        </w:tc>
        <w:tc>
          <w:tcPr>
            <w:tcW w:w="508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20" w:type="dxa"/>
            <w:vAlign w:val="bottom"/>
          </w:tcPr>
          <w:p>
            <w:pPr>
              <w:spacing w:after="0"/>
              <w:rPr>
                <w:sz w:val="24"/>
                <w:szCs w:val="24"/>
                <w:color w:val="auto"/>
              </w:rPr>
            </w:pPr>
          </w:p>
        </w:tc>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52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1"/>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 As of June 30, 2024 (unaudited) and December 31,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three-months and six-months ended June 30, 2024 and 2023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three-months and six-months ended June 30, 2024 and 2023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three-months and six-months ended June 30, 2024 and 2023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six-months ended June 30, 2024 and 2023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tcBorders>
              <w:left w:val="single" w:sz="8" w:color="0000FF"/>
            </w:tcBorders>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6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44"/>
        </w:trPr>
        <w:tc>
          <w:tcPr>
            <w:tcW w:w="20" w:type="dxa"/>
            <w:vAlign w:val="bottom"/>
          </w:tcPr>
          <w:p>
            <w:pPr>
              <w:spacing w:after="0"/>
              <w:rPr>
                <w:sz w:val="24"/>
                <w:szCs w:val="24"/>
                <w:color w:val="auto"/>
              </w:rPr>
            </w:pPr>
          </w:p>
        </w:tc>
        <w:tc>
          <w:tcPr>
            <w:tcW w:w="1040" w:type="dxa"/>
            <w:vAlign w:val="bottom"/>
            <w:tcBorders>
              <w:top w:val="single" w:sz="8" w:color="0000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9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6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60" w:type="dxa"/>
            <w:vAlign w:val="bottom"/>
            <w:gridSpan w:val="1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680" w:type="dxa"/>
            <w:vAlign w:val="bottom"/>
            <w:gridSpan w:val="20"/>
          </w:tcPr>
          <w:p>
            <w:pPr>
              <w:ind w:left="440"/>
              <w:spacing w:after="0"/>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241"/>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our ability to expand our sales organization to address effectively existing and new markets that we intend to target; future employment and contributions of personnel; tax and rising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w:t>
      </w:r>
    </w:p>
    <w:p>
      <w:pPr>
        <w:spacing w:after="0" w:line="17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ind w:right="2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5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AVITA Medical, Inc. (a Delaware corporation) and subsidiaries (the “Company”) as of June 30, 2024 and the related Consolidated Statements of Operations, Comprehensive Loss, and Stockholders’ Equity for the three-month and six-month periods ended June 30, 2024 and 2023, Cash Flows for the six-month periods ended June 30, 2024 and 2023, and the related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Operations, Comprehensive Loss, Stockholders’ Equity, and Cash Flows for the year then ended (not presented herein); and in our report dated February 22, 2024, we expressed an unqualified opinion on those Consolidated Financial Statements. In our opinion, the information set forth in the accompanying Consolidated Balance Sheet as of December 31, 2023, is fairly stated, in all material respects, in relation to the Consolidated Balance Sheet from which it has been derived.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These interim financial statements are the responsibility of the Company’s management. We are a public accounting firm registered with the PCAOB 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7320" w:type="dxa"/>
            <w:vAlign w:val="bottom"/>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8"/>
              </w:rPr>
              <w:t>Item 1. FINANCIAL STATEMENTS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7320" w:type="dxa"/>
            <w:vAlign w:val="bottom"/>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7"/>
              </w:rPr>
              <w:t>AVITA MEDICAL, INC.</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jc w:val="center"/>
              <w:ind w:left="3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 receivables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87,826</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20"/>
                <w:szCs w:val="20"/>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STOCKHOLDERS' EQUITY</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0"/>
                <w:szCs w:val="20"/>
                <w:color w:val="auto"/>
              </w:rPr>
            </w:pPr>
          </w:p>
        </w:tc>
      </w:tr>
      <w:tr>
        <w:trPr>
          <w:trHeight w:val="24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0"/>
                <w:szCs w:val="20"/>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200,000,000 shares authorized, 25,949,906 and</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25,682,078, shares issued and outstanding at June 30, 2024 and December 31, 2023,</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24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(1,022 )</w:t>
            </w:r>
          </w:p>
        </w:tc>
        <w:tc>
          <w:tcPr>
            <w:tcW w:w="1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(1,130 )</w:t>
            </w: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358,510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(1,556 )</w:t>
            </w:r>
          </w:p>
        </w:tc>
        <w:tc>
          <w:tcPr>
            <w:tcW w:w="1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(1,887 )</w:t>
            </w: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(332,020 )</w:t>
            </w:r>
          </w:p>
        </w:tc>
        <w:tc>
          <w:tcPr>
            <w:tcW w:w="1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(297,969 )</w:t>
            </w:r>
          </w:p>
        </w:tc>
      </w:tr>
      <w:tr>
        <w:trPr>
          <w:trHeight w:val="236"/>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tcBorders>
              <w:top w:val="single" w:sz="8" w:color="CFF0FC"/>
            </w:tcBorders>
          </w:tcPr>
          <w:p>
            <w:pPr>
              <w:spacing w:after="0"/>
              <w:rPr>
                <w:sz w:val="20"/>
                <w:szCs w:val="20"/>
                <w:color w:val="auto"/>
              </w:rPr>
            </w:pP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87,826</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-5265420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-5265420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-4331970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-3253105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-2319655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60" w:type="dxa"/>
            <w:vAlign w:val="bottom"/>
          </w:tcPr>
          <w:p>
            <w:pPr>
              <w:spacing w:after="0"/>
              <w:rPr>
                <w:sz w:val="19"/>
                <w:szCs w:val="19"/>
                <w:color w:val="auto"/>
              </w:rPr>
            </w:pPr>
          </w:p>
        </w:tc>
        <w:tc>
          <w:tcPr>
            <w:tcW w:w="296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23"/>
        </w:trPr>
        <w:tc>
          <w:tcPr>
            <w:tcW w:w="4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r>
      <w:tr>
        <w:trPr>
          <w:trHeight w:val="243"/>
        </w:trPr>
        <w:tc>
          <w:tcPr>
            <w:tcW w:w="47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revenue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00" w:type="dxa"/>
            <w:vAlign w:val="bottom"/>
            <w:shd w:val="clear" w:color="auto" w:fill="CFF0FC"/>
          </w:tcPr>
          <w:p>
            <w:pPr>
              <w:spacing w:after="0"/>
              <w:rPr>
                <w:sz w:val="21"/>
                <w:szCs w:val="21"/>
                <w:color w:val="auto"/>
              </w:rPr>
            </w:pPr>
          </w:p>
        </w:tc>
      </w:tr>
      <w:tr>
        <w:trPr>
          <w:trHeight w:val="238"/>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00" w:type="dxa"/>
            <w:vAlign w:val="bottom"/>
            <w:shd w:val="clear" w:color="auto" w:fill="CFF0FC"/>
          </w:tcPr>
          <w:p>
            <w:pPr>
              <w:spacing w:after="0"/>
              <w:rPr>
                <w:sz w:val="20"/>
                <w:szCs w:val="20"/>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(3,624 )</w:t>
            </w:r>
          </w:p>
        </w:tc>
        <w:tc>
          <w:tcPr>
            <w:tcW w:w="1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(3,871 )</w:t>
            </w:r>
          </w:p>
        </w:tc>
      </w:tr>
      <w:tr>
        <w:trPr>
          <w:trHeight w:val="236"/>
        </w:trPr>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0"/>
                <w:szCs w:val="20"/>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(16,302 )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(10,003 )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(28,942 )</w:t>
            </w:r>
          </w:p>
        </w:tc>
        <w:tc>
          <w:tcPr>
            <w:tcW w:w="1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(16,543 )</w:t>
            </w:r>
          </w:p>
        </w:tc>
      </w:tr>
      <w:tr>
        <w:trPr>
          <w:trHeight w:val="247"/>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(7,519 )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(6,165 )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(16,481 )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(14,460 )</w:t>
            </w:r>
          </w:p>
        </w:tc>
      </w:tr>
      <w:tr>
        <w:trPr>
          <w:trHeight w:val="238"/>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(4,887 )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(5,076 )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(10,081 )</w:t>
            </w:r>
          </w:p>
        </w:tc>
        <w:tc>
          <w:tcPr>
            <w:tcW w:w="1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(9,662 )</w:t>
            </w: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(28,708 )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(21,244 )</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(55,504 )</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(40,665 )</w:t>
            </w:r>
          </w:p>
        </w:tc>
      </w:tr>
      <w:tr>
        <w:trPr>
          <w:trHeight w:val="20"/>
        </w:trPr>
        <w:tc>
          <w:tcPr>
            <w:tcW w:w="4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(15,624 )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(11,165 )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(32,829 )</w:t>
            </w:r>
          </w:p>
        </w:tc>
        <w:tc>
          <w:tcPr>
            <w:tcW w:w="1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(21,076 )</w:t>
            </w: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(1,347 )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(2,703 )</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0"/>
                <w:szCs w:val="20"/>
                <w:color w:val="auto"/>
              </w:rPr>
            </w:pPr>
          </w:p>
        </w:tc>
      </w:tr>
      <w:tr>
        <w:trPr>
          <w:trHeight w:val="24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(15,360 )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(10,371 )</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(33,988 )</w:t>
            </w: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(19,561 )</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(15,393 ) $</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(10,384 ) $</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(34,051 )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(19,604 )</w:t>
            </w:r>
          </w:p>
        </w:tc>
      </w:tr>
      <w:tr>
        <w:trPr>
          <w:trHeight w:val="223"/>
        </w:trPr>
        <w:tc>
          <w:tcPr>
            <w:tcW w:w="4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(0.60 ) $</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(0.41 ) $</w:t>
            </w: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25,760,278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25,239,723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25,699,030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25,221,009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-2533650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-2533650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-2533650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-1591945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-1591945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-1591945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-641350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-624205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-641350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-624205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-641350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-624205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23"/>
        </w:trPr>
        <w:tc>
          <w:tcPr>
            <w:tcW w:w="5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c>
          <w:tcPr>
            <w:tcW w:w="1300" w:type="dxa"/>
            <w:vAlign w:val="bottom"/>
            <w:tcBorders>
              <w:top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June 30, 2023</w:t>
            </w:r>
          </w:p>
        </w:tc>
        <w:tc>
          <w:tcPr>
            <w:tcW w:w="100" w:type="dxa"/>
            <w:vAlign w:val="bottom"/>
          </w:tcPr>
          <w:p>
            <w:pPr>
              <w:spacing w:after="0"/>
              <w:rPr>
                <w:sz w:val="19"/>
                <w:szCs w:val="19"/>
                <w:color w:val="auto"/>
              </w:rPr>
            </w:pPr>
          </w:p>
        </w:tc>
      </w:tr>
      <w:tr>
        <w:trPr>
          <w:trHeight w:val="243"/>
        </w:trPr>
        <w:tc>
          <w:tcPr>
            <w:tcW w:w="59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(15,393 ) $</w:t>
            </w:r>
          </w:p>
        </w:tc>
        <w:tc>
          <w:tcPr>
            <w:tcW w:w="5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(10,384 ) $</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(34,051 )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(19,604 )</w:t>
            </w: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4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due to credit risk on long-term debt gain/(loss)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gain/(loss) on marketable securities</w:t>
            </w: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(13,881 ) $</w:t>
            </w:r>
          </w:p>
        </w:tc>
        <w:tc>
          <w:tcPr>
            <w:tcW w:w="560" w:type="dxa"/>
            <w:vAlign w:val="bottom"/>
            <w:shd w:val="clear" w:color="auto" w:fill="CFF0FC"/>
          </w:tcPr>
          <w:p>
            <w:pPr>
              <w:spacing w:after="0"/>
              <w:rPr>
                <w:sz w:val="22"/>
                <w:szCs w:val="22"/>
                <w:color w:val="auto"/>
              </w:rPr>
            </w:pPr>
          </w:p>
        </w:tc>
        <w:tc>
          <w:tcPr>
            <w:tcW w:w="100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(10,283 ) $</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(33,720 )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(19,272 )</w:t>
            </w: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0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March 31, 2024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purchase</w:t>
      </w:r>
    </w:p>
    <w:p>
      <w:pPr>
        <w:spacing w:after="0" w:line="14"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Distribution/diversification of Company common stock held by the NQDC Plan</w:t>
      </w:r>
    </w:p>
    <w:p>
      <w:pPr>
        <w:ind w:left="20" w:right="420"/>
        <w:spacing w:after="0" w:line="263" w:lineRule="auto"/>
        <w:rPr>
          <w:sz w:val="20"/>
          <w:szCs w:val="20"/>
          <w:color w:val="auto"/>
        </w:rPr>
      </w:pPr>
      <w:r>
        <w:rPr>
          <w:rFonts w:ascii="Times New Roman" w:cs="Times New Roman" w:eastAsia="Times New Roman" w:hAnsi="Times New Roman"/>
          <w:sz w:val="14"/>
          <w:szCs w:val="14"/>
          <w:color w:val="auto"/>
        </w:rPr>
        <w:t>Change in redemption value of share awards in NQDC Plan Net unrealized loss on marketable securities</w:t>
      </w:r>
    </w:p>
    <w:p>
      <w:pPr>
        <w:ind w:left="20" w:right="620"/>
        <w:spacing w:after="0" w:line="298" w:lineRule="auto"/>
        <w:rPr>
          <w:sz w:val="20"/>
          <w:szCs w:val="20"/>
          <w:color w:val="auto"/>
        </w:rPr>
      </w:pPr>
      <w:r>
        <w:rPr>
          <w:rFonts w:ascii="Times New Roman" w:cs="Times New Roman" w:eastAsia="Times New Roman" w:hAnsi="Times New Roman"/>
          <w:sz w:val="14"/>
          <w:szCs w:val="14"/>
          <w:color w:val="auto"/>
        </w:rPr>
        <w:t>Change in fair value due to credit risk on long-term debt Balance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March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14" w:lineRule="exact"/>
        <w:rPr>
          <w:sz w:val="20"/>
          <w:szCs w:val="20"/>
          <w:color w:val="auto"/>
        </w:rPr>
      </w:pPr>
    </w:p>
    <w:p>
      <w:pPr>
        <w:ind w:left="20" w:right="420"/>
        <w:spacing w:after="0" w:line="262" w:lineRule="auto"/>
        <w:rPr>
          <w:sz w:val="20"/>
          <w:szCs w:val="20"/>
          <w:color w:val="auto"/>
        </w:rPr>
      </w:pPr>
      <w:r>
        <w:rPr>
          <w:rFonts w:ascii="Times New Roman" w:cs="Times New Roman" w:eastAsia="Times New Roman" w:hAnsi="Times New Roman"/>
          <w:sz w:val="14"/>
          <w:szCs w:val="14"/>
          <w:color w:val="auto"/>
        </w:rPr>
        <w:t>Change in redemption value of share awards in NQDC Plan Net unrealized gain on marketable securities Foreign currency translation gain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Three-Months Ended June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160" w:type="dxa"/>
            <w:vAlign w:val="bottom"/>
            <w:gridSpan w:val="2"/>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2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020" w:type="dxa"/>
            <w:vAlign w:val="bottom"/>
            <w:gridSpan w:val="2"/>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7"/>
                <w:szCs w:val="7"/>
                <w:color w:val="auto"/>
              </w:rPr>
            </w:pPr>
          </w:p>
        </w:tc>
        <w:tc>
          <w:tcPr>
            <w:tcW w:w="74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3"/>
            <w:vMerge w:val="restart"/>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20" w:type="dxa"/>
            <w:vAlign w:val="bottom"/>
          </w:tcPr>
          <w:p>
            <w:pPr>
              <w:spacing w:after="0"/>
              <w:rPr>
                <w:sz w:val="7"/>
                <w:szCs w:val="7"/>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3"/>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20" w:type="dxa"/>
            <w:vAlign w:val="bottom"/>
          </w:tcPr>
          <w:p>
            <w:pPr>
              <w:spacing w:after="0"/>
              <w:rPr>
                <w:sz w:val="7"/>
                <w:szCs w:val="7"/>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960" w:type="dxa"/>
            <w:vAlign w:val="bottom"/>
            <w:tcBorders>
              <w:top w:val="single" w:sz="8" w:color="auto"/>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25,789,051</w:t>
            </w:r>
          </w:p>
        </w:tc>
        <w:tc>
          <w:tcPr>
            <w:tcW w:w="120" w:type="dxa"/>
            <w:vAlign w:val="bottom"/>
          </w:tcPr>
          <w:p>
            <w:pPr>
              <w:spacing w:after="0"/>
              <w:rPr>
                <w:sz w:val="13"/>
                <w:szCs w:val="13"/>
                <w:color w:val="auto"/>
              </w:rPr>
            </w:pPr>
          </w:p>
        </w:tc>
        <w:tc>
          <w:tcPr>
            <w:tcW w:w="420" w:type="dxa"/>
            <w:vAlign w:val="bottom"/>
            <w:tcBorders>
              <w:top w:val="single" w:sz="8" w:color="auto"/>
            </w:tcBorders>
            <w:gridSpan w:val="2"/>
          </w:tcPr>
          <w:p>
            <w:pPr>
              <w:jc w:val="right"/>
              <w:ind w:right="26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100" w:type="dxa"/>
            <w:vAlign w:val="bottom"/>
            <w:tcBorders>
              <w:top w:val="single" w:sz="8" w:color="auto"/>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(944</w:t>
            </w:r>
          </w:p>
        </w:tc>
        <w:tc>
          <w:tcPr>
            <w:tcW w:w="120" w:type="dxa"/>
            <w:vAlign w:val="bottom"/>
            <w:gridSpan w:val="2"/>
          </w:tcPr>
          <w:p>
            <w:pPr>
              <w:jc w:val="right"/>
              <w:ind w:right="19"/>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353,205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(3,068</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(316,627</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32,569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(15,393 )</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(15,393 )</w:t>
            </w: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53,918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10,684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96,253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25,949,906</w:t>
            </w:r>
          </w:p>
        </w:tc>
        <w:tc>
          <w:tcPr>
            <w:tcW w:w="12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358,510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Three-Months Ended June 30, 2023</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160" w:type="dxa"/>
            <w:vAlign w:val="bottom"/>
            <w:gridSpan w:val="2"/>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2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02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7"/>
                <w:szCs w:val="7"/>
                <w:color w:val="auto"/>
              </w:rPr>
            </w:pPr>
          </w:p>
        </w:tc>
        <w:tc>
          <w:tcPr>
            <w:tcW w:w="740" w:type="dxa"/>
            <w:vAlign w:val="bottom"/>
            <w:gridSpan w:val="3"/>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3"/>
            <w:vMerge w:val="restart"/>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20" w:type="dxa"/>
            <w:vAlign w:val="bottom"/>
          </w:tcPr>
          <w:p>
            <w:pPr>
              <w:spacing w:after="0"/>
              <w:rPr>
                <w:sz w:val="7"/>
                <w:szCs w:val="7"/>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3"/>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20" w:type="dxa"/>
            <w:vAlign w:val="bottom"/>
          </w:tcPr>
          <w:p>
            <w:pPr>
              <w:spacing w:after="0"/>
              <w:rPr>
                <w:sz w:val="7"/>
                <w:szCs w:val="7"/>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25,327,761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ind w:right="248"/>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342,400</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7,858</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(271,808</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77,561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(10,384 )</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(10,384 )</w:t>
            </w: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114,854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(467 )</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0" w:type="dxa"/>
            <w:vAlign w:val="bottom"/>
          </w:tcPr>
          <w:p>
            <w:pPr>
              <w:spacing w:after="0"/>
              <w:rPr>
                <w:sz w:val="1"/>
                <w:szCs w:val="1"/>
                <w:color w:val="auto"/>
              </w:rPr>
            </w:pPr>
          </w:p>
        </w:tc>
      </w:tr>
      <w:tr>
        <w:trPr>
          <w:trHeight w:val="17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25,447,615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343,769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(282,192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-3304540</wp:posOffset>
            </wp:positionV>
            <wp:extent cx="713232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-3081655</wp:posOffset>
            </wp:positionV>
            <wp:extent cx="7132320"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-2859405</wp:posOffset>
            </wp:positionV>
            <wp:extent cx="713232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-2636520</wp:posOffset>
            </wp:positionV>
            <wp:extent cx="71323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-2319655</wp:posOffset>
            </wp:positionV>
            <wp:extent cx="713232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-2088515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-1035685</wp:posOffset>
            </wp:positionV>
            <wp:extent cx="7132320"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-812800</wp:posOffset>
            </wp:positionV>
            <wp:extent cx="713232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-589915</wp:posOffset>
            </wp:positionV>
            <wp:extent cx="7132320"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-367665</wp:posOffset>
            </wp:positionV>
            <wp:extent cx="713232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-136525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4580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80890" cy="8255"/>
                    </a:xfrm>
                    <a:prstGeom prst="rect">
                      <a:avLst/>
                    </a:prstGeom>
                    <a:noFill/>
                  </pic:spPr>
                </pic:pic>
              </a:graphicData>
            </a:graphic>
          </wp:anchor>
        </w:drawing>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6" w:lineRule="exact"/>
        <w:rPr>
          <w:sz w:val="20"/>
          <w:szCs w:val="20"/>
          <w:color w:val="auto"/>
        </w:rPr>
      </w:pPr>
    </w:p>
    <w:p>
      <w:pPr>
        <w:sectPr>
          <w:pgSz w:w="11900" w:h="16838" w:orient="portrait"/>
          <w:cols w:equalWidth="0" w:num="2">
            <w:col w:w="3880" w:space="40"/>
            <w:col w:w="7320"/>
          </w:cols>
          <w:pgMar w:left="320" w:top="1007"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96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7"/>
                <w:szCs w:val="7"/>
                <w:color w:val="auto"/>
              </w:rPr>
            </w:pPr>
          </w:p>
        </w:tc>
        <w:tc>
          <w:tcPr>
            <w:tcW w:w="640" w:type="dxa"/>
            <w:vAlign w:val="bottom"/>
            <w:gridSpan w:val="2"/>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20" w:type="dxa"/>
            <w:vAlign w:val="bottom"/>
          </w:tcPr>
          <w:p>
            <w:pPr>
              <w:spacing w:after="0"/>
              <w:rPr>
                <w:sz w:val="7"/>
                <w:szCs w:val="7"/>
                <w:color w:val="auto"/>
              </w:rPr>
            </w:pPr>
          </w:p>
        </w:tc>
        <w:tc>
          <w:tcPr>
            <w:tcW w:w="72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20" w:type="dxa"/>
            <w:vAlign w:val="bottom"/>
          </w:tcPr>
          <w:p>
            <w:pPr>
              <w:spacing w:after="0"/>
              <w:rPr>
                <w:sz w:val="7"/>
                <w:szCs w:val="7"/>
                <w:color w:val="auto"/>
              </w:rPr>
            </w:pPr>
          </w:p>
        </w:tc>
        <w:tc>
          <w:tcPr>
            <w:tcW w:w="7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9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25,682,078</w:t>
            </w:r>
          </w:p>
        </w:tc>
        <w:tc>
          <w:tcPr>
            <w:tcW w:w="4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(1,130 )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350,039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(1,887 ) $</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(297,969 )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(34,051 )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(34,051 )</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117,657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 purchase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NQDC Plan</w:t>
            </w: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(107 )</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fair value due to credit risk on long-term debt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25,949,906</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(1,556 )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(332,020 )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-144780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-144780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-144780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-144780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-144780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-144780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Six-Months Ended June 30, 2023</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continue"/>
          </w:tcPr>
          <w:p>
            <w:pPr>
              <w:spacing w:after="0"/>
              <w:rPr>
                <w:sz w:val="5"/>
                <w:szCs w:val="5"/>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96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7"/>
                <w:szCs w:val="7"/>
                <w:color w:val="auto"/>
              </w:rPr>
            </w:pPr>
          </w:p>
        </w:tc>
        <w:tc>
          <w:tcPr>
            <w:tcW w:w="640" w:type="dxa"/>
            <w:vAlign w:val="bottom"/>
            <w:gridSpan w:val="2"/>
            <w:vMerge w:val="restart"/>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20" w:type="dxa"/>
            <w:vAlign w:val="bottom"/>
          </w:tcPr>
          <w:p>
            <w:pPr>
              <w:spacing w:after="0"/>
              <w:rPr>
                <w:sz w:val="7"/>
                <w:szCs w:val="7"/>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20" w:type="dxa"/>
            <w:vAlign w:val="bottom"/>
          </w:tcPr>
          <w:p>
            <w:pPr>
              <w:spacing w:after="0"/>
              <w:rPr>
                <w:sz w:val="7"/>
                <w:szCs w:val="7"/>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9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25,208,436</w:t>
            </w:r>
          </w:p>
        </w:tc>
        <w:tc>
          <w:tcPr>
            <w:tcW w:w="5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339,825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(262,588 )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(19,604 )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(19,604 )</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146,529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Company common stock held by the NQDC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87,650</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(765 )</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(1,025 )</w:t>
            </w: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(1,025 )</w:t>
            </w: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25,447,615</w:t>
            </w:r>
          </w:p>
        </w:tc>
        <w:tc>
          <w:tcPr>
            <w:tcW w:w="5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343,769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(282,192 )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-144780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-144780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-144780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-144780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-144780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-144780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6"/>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23"/>
        </w:trPr>
        <w:tc>
          <w:tcPr>
            <w:tcW w:w="7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(34,051 )</w:t>
            </w:r>
          </w:p>
        </w:tc>
        <w:tc>
          <w:tcPr>
            <w:tcW w:w="30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(19,604 )</w:t>
            </w: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long-term debt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fixed asset disposal</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Patent impairment loss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Remeasurement and foreign currency transaction gain</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Excess and obsolete inventory related charges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BARDA deferred costs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cost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premium of marketable securities</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(1,152 )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changes in the fair value of NQDC plan</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BARDA receivables</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(1,347 )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Corporate-owned life insurance ("COLI") asset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wages and fringe benefits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(422 )</w:t>
            </w: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non-qualified deferred compensation liability</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Non-qualified deferred compensation plan liability</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13"/>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(5,819 )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(7,633 )</w:t>
            </w: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45,388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(3,799 )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(583 )</w:t>
            </w:r>
          </w:p>
        </w:tc>
      </w:tr>
      <w:tr>
        <w:trPr>
          <w:trHeight w:val="23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Patent filing fees</w:t>
            </w: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6"/>
        </w:trPr>
        <w:tc>
          <w:tcPr>
            <w:tcW w:w="74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37,150</w:t>
            </w:r>
          </w:p>
        </w:tc>
        <w:tc>
          <w:tcPr>
            <w:tcW w:w="100" w:type="dxa"/>
            <w:vAlign w:val="bottom"/>
            <w:tcBorders>
              <w:top w:val="single" w:sz="8" w:color="CFF0FC"/>
            </w:tcBorders>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9"/>
                <w:szCs w:val="19"/>
                <w:color w:val="auto"/>
              </w:rPr>
            </w:pPr>
          </w:p>
        </w:tc>
      </w:tr>
      <w:tr>
        <w:trPr>
          <w:trHeight w:val="23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Employee stock purchase plan ("ESPP") purchases</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(4,666 )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19,321</w:t>
            </w:r>
          </w:p>
        </w:tc>
        <w:tc>
          <w:tcPr>
            <w:tcW w:w="100" w:type="dxa"/>
            <w:vAlign w:val="bottom"/>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37,485</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during the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Plant and equipment purchases not yet paid</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Right-of-use-asset obtained in exchange for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 not yet paid</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-2388235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-1797685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-1198245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533"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229" w:lineRule="exact"/>
        <w:rPr>
          <w:sz w:val="20"/>
          <w:szCs w:val="20"/>
          <w:color w:val="auto"/>
        </w:rPr>
      </w:pPr>
    </w:p>
    <w:p>
      <w:pPr>
        <w:ind w:right="20" w:firstLine="749"/>
        <w:spacing w:after="0" w:line="227" w:lineRule="auto"/>
        <w:rPr>
          <w:sz w:val="20"/>
          <w:szCs w:val="20"/>
          <w:color w:val="auto"/>
        </w:rPr>
      </w:pPr>
      <w:r>
        <w:rPr>
          <w:rFonts w:ascii="Times New Roman" w:cs="Times New Roman" w:eastAsia="Times New Roman" w:hAnsi="Times New Roman"/>
          <w:sz w:val="18"/>
          <w:szCs w:val="18"/>
          <w:color w:val="auto"/>
        </w:rPr>
        <w:t>AVITA Medical, Inc. (collectively with its subsidiaries, “AVITA Medical”, “we”, “our”, “us”, or “Company”) is a commercial-stage regenerative medicine company transforming the standard of care in wound management and skin restoration with innovative devices. At the forefront of the Company's portfolio is its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(“RECELL”). RECELL harnesses the regenerative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 of care. This breakthrough technology serves as the catalyst for a new treatment paradigm enabling improved clinical outcomes. The Company also holds the right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 under the terms of an exclusive multi-year distribution agreement with Stedical Scientific, Inc. ("Stedical").</w:t>
      </w:r>
    </w:p>
    <w:p>
      <w:pPr>
        <w:spacing w:after="0" w:line="20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U.S. Food and Drug Administration ("FDA") for the treatment of thermal burn wounds and full-thickness skin defects, and repigmentation of stable depigmented vitiligo lesions. The Company's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a multi-use, AC-powered RECELL GO Processing Device ("RPD") and a RECELL GO Preparation Kit ("RPK"). The RPK contains the single-use RECELL GO Cartridge, disaggregation head,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2023 filed with the SEC on February 22, 2024 and the Australian Securities Exchange ("ASX") on February 23, 2024 (the “2023 Annual Report").</w:t>
      </w:r>
    </w:p>
    <w:p>
      <w:pPr>
        <w:spacing w:after="0" w:line="18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Except for revenue recognition, related to the RECELL GO system, as described below, there have been no changes to the Company’s significant accounting policies as described in the 2023 Annual Report that have had a material impact on the Company’s Consolidated Financial Statements. See the summary of the Company’s significant accounting policies set forth in the notes to its Consolidated Financial Statements included in the 2023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w:t>
      </w:r>
      <w:r>
        <w:rPr>
          <w:rFonts w:ascii="Times New Roman" w:cs="Times New Roman" w:eastAsia="Times New Roman" w:hAnsi="Times New Roman"/>
          <w:sz w:val="18"/>
          <w:szCs w:val="18"/>
          <w:i w:val="1"/>
          <w:iCs w:val="1"/>
          <w:color w:val="auto"/>
        </w:rPr>
        <w:t>egment Reporting (Topic 280): Improvements to Reportable Segment Disclosures.</w:t>
      </w:r>
      <w:r>
        <w:rPr>
          <w:rFonts w:ascii="Times New Roman" w:cs="Times New Roman" w:eastAsia="Times New Roman" w:hAnsi="Times New Roman"/>
          <w:sz w:val="18"/>
          <w:szCs w:val="18"/>
          <w:color w:val="auto"/>
        </w:rPr>
        <w:t xml:space="preserve">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1" w:name="page12"/>
    <w:bookmarkEnd w:id="11"/>
    <w:p>
      <w:pPr>
        <w:ind w:right="160"/>
        <w:spacing w:after="0" w:line="265" w:lineRule="auto"/>
        <w:rPr>
          <w:sz w:val="20"/>
          <w:szCs w:val="20"/>
          <w:color w:val="auto"/>
        </w:rPr>
      </w:pPr>
      <w:r>
        <w:rPr>
          <w:rFonts w:ascii="Times New Roman" w:cs="Times New Roman" w:eastAsia="Times New Roman" w:hAnsi="Times New Roman"/>
          <w:sz w:val="18"/>
          <w:szCs w:val="18"/>
          <w:color w:val="auto"/>
        </w:rPr>
        <w:t>resources. All disclosure requirements under ASU 2023-07 are also required for public entities with a single reportable segment. The ASU is effective for the Company’s 2023 Annual Report on Form 10-K for the fiscal year ending December 31, 2025, and subsequent interim periods, with early adoption permitted. The Company is currently evaluating the impact of adopting this ASU on its consolidated financial statements and disclosures.</w:t>
      </w:r>
    </w:p>
    <w:p>
      <w:pPr>
        <w:spacing w:after="0" w:line="17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is currently evaluating the impact of adopting this ASU on its consolidated financial statements and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reported amounts (including estimate of the average selling price for PermeaDerm sales, stand-alone selling price ("SSP") for the RPD, allowance for credit losses, reserves for inventory excess and obsolescence, carrying value of long-lived assets, the useful lives of long-lived assets, accounting for marketable securities, income taxes, fair value of debt, fair value of warrants and stock-based compensation) and related disclosures. Estimates have been prepared based on the current and available information. However, actual results could differ from estimated amounts.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229"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Other comprehensive gain (loss) in Stockholders’ Equity.</w:t>
      </w:r>
    </w:p>
    <w:p>
      <w:pPr>
        <w:spacing w:after="0" w:line="182"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are included in earnings in the Consolidated Statement of Operations. Gains and losses for remeasurement were minimal during the three-months and six-months ended June 30, 2024 and 2023.</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records certain revenues and operating expenses in foreign currencies. These revenues and expenses are translated into U.S. Dollars based on the average exchange rate for the reporting period. Assets and liabilities denominated in foreign currencies are translated into U.S. Dollars at the exchange rate in effect as of the balance sheet date. For the three and six-months ended June 30, 2024, the Company incurred approximately $7,000 and $12,000 in losses included in net loss in the Consolidated Statement of Operations, respectively. For the three and six-months ended June 30, 2023 transactions gains and losses were minimal.</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holds cash at deposit institutions in the amount of $6.6 million and $10.7 million as of June 30, 2024 and December 31, 2023, respectively. The Company does not have cash on deposit denominated in foreign currency in foreign institutions as of June 30, 2024. As of December 31, 2023, the Company had $69,000 of cash on deposit denominated in foreign currencies in foreign institutions. As of June 30, 2024 and December 31, 2023, the Company held cash equivalents in the amount of $10.8 million and $11.4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trade receivables and debt and other liabilities. As of June 30, 2024 and December 31, 2023, substantially all the Company’s cash was deposited in accounts at financial institutions, and amounts exceed federally insured limits and are subject to the risk of bank failure.</w:t>
      </w:r>
    </w:p>
    <w:p>
      <w:pPr>
        <w:spacing w:after="0" w:line="177"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As of June 30, 2024 and December 31, 2023, no single commercial customer accounted for more than 10% of net accounts receivable or more than 10% of revenues for the three-months and six-months ended June 30, 2024 and 2023.</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revenues primarily from the sale of:</w:t>
      </w:r>
    </w:p>
    <w:p>
      <w:pPr>
        <w:spacing w:after="0" w:line="117"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EOU, RPK, and PermeaDerm products to hospitals, other treatment centers, and distributors.</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 received from BARDA to ensure first right of access to our inventory. In the prior year, the Company recorded service revenue for the emergency preparedness services provided to BARDA.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RPD.</w:t>
      </w:r>
    </w:p>
    <w:p>
      <w:pPr>
        <w:spacing w:after="0" w:line="22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Company’s sale of the RECELL EOU and PermeaDerm products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for the RECELL GO system is disaggregated between two accounting standards: (1) ASC 606 for the RPK and (2) ASC 842, </w:t>
      </w:r>
      <w:r>
        <w:rPr>
          <w:rFonts w:ascii="Times New Roman" w:cs="Times New Roman" w:eastAsia="Times New Roman" w:hAnsi="Times New Roman"/>
          <w:sz w:val="18"/>
          <w:szCs w:val="18"/>
          <w:i w:val="1"/>
          <w:iCs w:val="1"/>
          <w:color w:val="auto"/>
        </w:rPr>
        <w:t>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RPD. Revenues from BARDA, are accounted for under ASC 606, and are included in Sales revenues within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determine revenue recognition for contracts that are within the scope of ASC 606, the Company performs the following five steps:</w:t>
      </w:r>
    </w:p>
    <w:p>
      <w:pPr>
        <w:spacing w:after="0" w:line="225"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when/as a performance obligation(s) is(are) satisfied</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7"/>
          <w:szCs w:val="17"/>
          <w:color w:val="auto"/>
        </w:rPr>
        <w:t>When accounting for a contract that contains multiple performance obligations, the Company must develop judgmental assumptions to determine the estimated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w:t>
      </w:r>
    </w:p>
    <w:p>
      <w:pPr>
        <w:spacing w:after="0" w:line="10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that are within the scope of ASC 606 and ASC 842</w:t>
      </w:r>
    </w:p>
    <w:p>
      <w:pPr>
        <w:spacing w:after="0" w:line="22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where it receives consideration for the RPK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spacing w:after="0" w:line="18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these contracts the Company considers the guidance under ASC 842 to determine if furnishing the RPD to the customer during the period of use establishes an embedded lease. To determine if the contract contains a lease, the Company evaluates the customer’s rights and ability to control the use of the underlying equipment throughout the contract term, including any equipment substitution rights retained by the Company. As the contract conveys the right to control the use of an identified asset for a period of time, the contract was determined to contain a lease. The Company then evaluated the lease classification based on the below:</w:t>
      </w:r>
    </w:p>
    <w:p>
      <w:pPr>
        <w:spacing w:after="0" w:line="74" w:lineRule="exact"/>
        <w:rPr>
          <w:sz w:val="20"/>
          <w:szCs w:val="20"/>
          <w:color w:val="auto"/>
        </w:rPr>
      </w:pPr>
    </w:p>
    <w:p>
      <w:pPr>
        <w:ind w:left="1020" w:right="20" w:hanging="504"/>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the Company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w:t>
      </w:r>
    </w:p>
    <w:p>
      <w:pPr>
        <w:spacing w:after="0" w:line="77" w:lineRule="exact"/>
        <w:rPr>
          <w:rFonts w:ascii="Times New Roman" w:cs="Times New Roman" w:eastAsia="Times New Roman" w:hAnsi="Times New Roman"/>
          <w:sz w:val="18"/>
          <w:szCs w:val="18"/>
          <w:color w:val="auto"/>
        </w:rPr>
      </w:pPr>
    </w:p>
    <w:p>
      <w:pPr>
        <w:ind w:left="1020" w:right="380" w:hanging="504"/>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w:t>
      </w:r>
    </w:p>
    <w:p>
      <w:pPr>
        <w:spacing w:after="0" w:line="74"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ASC 842-30, a lessor would classify a lease as an operating lease when none of the sales-type or direct financing lease classification criteria are met. Further, per </w:t>
      </w:r>
      <w:r>
        <w:rPr>
          <w:rFonts w:ascii="Times New Roman" w:cs="Times New Roman" w:eastAsia="Times New Roman" w:hAnsi="Times New Roman"/>
          <w:sz w:val="18"/>
          <w:szCs w:val="18"/>
          <w:color w:val="211D1E"/>
        </w:rPr>
        <w:t>ASC 842,</w:t>
      </w:r>
      <w:r>
        <w:rPr>
          <w:rFonts w:ascii="Times New Roman" w:cs="Times New Roman" w:eastAsia="Times New Roman" w:hAnsi="Times New Roman"/>
          <w:sz w:val="18"/>
          <w:szCs w:val="18"/>
          <w:color w:val="auto"/>
        </w:rPr>
        <w:t xml:space="preserve"> 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inception.</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determining whether the lease components are related to a sales-type lease or an operating lease, the Company evaluates if the lease transfers ownership at the end of the lease term, purchase options, the lease term in relation to the economic life of the asset, if the lease payments exceed the fair value of the asset, and if the asset is of a specialized nature. The Company also evaluates if the lease results in a loss at inception. As </w:t>
      </w:r>
      <w:r>
        <w:rPr>
          <w:rFonts w:ascii="Times New Roman" w:cs="Times New Roman" w:eastAsia="Times New Roman" w:hAnsi="Times New Roman"/>
          <w:sz w:val="18"/>
          <w:szCs w:val="18"/>
          <w:color w:val="211D1E"/>
        </w:rPr>
        <w:t>the lease term is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the major part of the economic life, the lease meets the classification criteria for sales-type lease. However, t</w:t>
      </w:r>
      <w:r>
        <w:rPr>
          <w:rFonts w:ascii="Times New Roman" w:cs="Times New Roman" w:eastAsia="Times New Roman" w:hAnsi="Times New Roman"/>
          <w:sz w:val="18"/>
          <w:szCs w:val="18"/>
          <w:color w:val="000000"/>
        </w:rPr>
        <w:t>o determine if the contract results in a loss at</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lease inception we evaluated the consideration in the contract. </w:t>
      </w:r>
      <w:r>
        <w:rPr>
          <w:rFonts w:ascii="Times New Roman" w:cs="Times New Roman" w:eastAsia="Times New Roman" w:hAnsi="Times New Roman"/>
          <w:sz w:val="18"/>
          <w:szCs w:val="18"/>
          <w:color w:val="211D1E"/>
        </w:rPr>
        <w:t>The consideration at lease commencement does not contain fixed payments, purchase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 xml:space="preserve">options, penalty payments or residual value guarantees. The variable consideration is related to the sale of the RPK. As the </w:t>
      </w:r>
      <w:r>
        <w:rPr>
          <w:rFonts w:ascii="Times New Roman" w:cs="Times New Roman" w:eastAsia="Times New Roman" w:hAnsi="Times New Roman"/>
          <w:sz w:val="18"/>
          <w:szCs w:val="18"/>
          <w:color w:val="000000"/>
        </w:rPr>
        <w:t>variable lease payments are not</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dependent on an index or rate, the variable consideration is excluded from consideration at contract inception resulting in a loss at lease commencement. As such, the Company classifies the lease as an operating lease.</w:t>
      </w:r>
    </w:p>
    <w:p>
      <w:pPr>
        <w:spacing w:after="0" w:line="18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contracts contain a lease component, the RPD, and a nonlease component, the RPK. The lease component will be accounted for under the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consideration will be recognized once the sale of the RPK occurs. Consideration will be allocated to the RPD and RPK based on the SSP. Consideration related to the RPD will be recognized as Lease revenue and consideration related to the RPK will be recognized as Sales revenues in accordance with guidance in ASC 606, as described above, upon transfer of control of the product.</w:t>
      </w:r>
    </w:p>
    <w:p>
      <w:pPr>
        <w:spacing w:after="0" w:line="18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Assets in our lease program are reported in Plant and equipment, net on our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 units sold. Based on customer usage, each purchase of an RPK unit results in a 1/200 depreciation to the RPD.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4" w:name="page15"/>
    <w:bookmarkEnd w:id="14"/>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values of securities available-for-sale: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left="22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98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8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60" w:type="dxa"/>
            <w:vAlign w:val="bottom"/>
          </w:tcPr>
          <w:p>
            <w:pPr>
              <w:spacing w:after="0"/>
              <w:rPr>
                <w:sz w:val="21"/>
                <w:szCs w:val="21"/>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240" w:type="dxa"/>
            <w:vAlign w:val="bottom"/>
            <w:gridSpan w:val="2"/>
            <w:shd w:val="clear" w:color="auto" w:fill="CFF0FC"/>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2"/>
              </w:rPr>
              <w:t>(11 )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26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2"/>
              </w:rPr>
              <w:t>(11 )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left="223"/>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8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98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8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24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24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65,145</w:t>
            </w:r>
          </w:p>
        </w:tc>
        <w:tc>
          <w:tcPr>
            <w:tcW w:w="1240" w:type="dxa"/>
            <w:vAlign w:val="bottom"/>
            <w:gridSpan w:val="2"/>
          </w:tcPr>
          <w:p>
            <w:pPr>
              <w:jc w:val="right"/>
              <w:ind w:right="80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2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26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4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-2670810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-2653665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-2670810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-2653665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-2670810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-2653665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-2336800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-2336800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-2336800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-838200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-838200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-838200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-187960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-187960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The maturities of our available-for-sale securities are summarized in the following table using contractual maturities. Actual maturities may differ from contractual maturities due to obligations that are called or prepaid.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2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net, in the accompanying Consolidated Statements of Operations. The Company had net unrealized loss of $11,000 and an unrealized gain of $95,000 as of June 30, 2024 and December 31, 2023, respectively. The Company did not have sales of investments during the three-months and six-months ended June 30, 2024 and 2023 that resulted in realized gains or losses. As of June 30, 2024, and December 31, 2023, the Company did not recognize credit losses. The Company has accrued interest income receivable of $212,000 and $227,000 as of June 30, 2024, and December 31, 2023, respectively, in Prepaids and other current assets.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60" w:lineRule="auto"/>
        <w:rPr>
          <w:sz w:val="20"/>
          <w:szCs w:val="20"/>
          <w:color w:val="auto"/>
        </w:rPr>
      </w:pPr>
      <w:r>
        <w:rPr>
          <w:rFonts w:ascii="Times New Roman" w:cs="Times New Roman" w:eastAsia="Times New Roman" w:hAnsi="Times New Roman"/>
          <w:sz w:val="18"/>
          <w:szCs w:val="18"/>
          <w:color w:val="auto"/>
        </w:rPr>
        <w:t>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ectPr>
          <w:pgSz w:w="11900" w:h="16838" w:orient="portrait"/>
          <w:cols w:equalWidth="0" w:num="1">
            <w:col w:w="11240"/>
          </w:cols>
          <w:pgMar w:left="320" w:top="1011" w:right="339" w:bottom="1113" w:gutter="0" w:footer="0" w:header="0"/>
        </w:sectPr>
      </w:pPr>
    </w:p>
    <w:p>
      <w:pPr>
        <w:spacing w:after="0" w:line="182"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reporting entity can measurement date.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 at the</w:t>
      </w:r>
    </w:p>
    <w:p>
      <w:pPr>
        <w:spacing w:after="0" w:line="452" w:lineRule="exact"/>
        <w:rPr>
          <w:sz w:val="20"/>
          <w:szCs w:val="20"/>
          <w:color w:val="auto"/>
        </w:rPr>
      </w:pPr>
    </w:p>
    <w:p>
      <w:pPr>
        <w:sectPr>
          <w:pgSz w:w="11900" w:h="16838" w:orient="portrait"/>
          <w:cols w:equalWidth="0" w:num="2">
            <w:col w:w="9660" w:space="440"/>
            <w:col w:w="1140"/>
          </w:cols>
          <w:pgMar w:left="320" w:top="1011" w:right="339" w:bottom="1113"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directly or</w:t>
      </w:r>
    </w:p>
    <w:p>
      <w:pPr>
        <w:spacing w:after="0" w:line="39" w:lineRule="exact"/>
        <w:rPr>
          <w:sz w:val="20"/>
          <w:szCs w:val="20"/>
          <w:color w:val="auto"/>
        </w:rPr>
      </w:pPr>
    </w:p>
    <w:p>
      <w:pPr>
        <w:sectPr>
          <w:pgSz w:w="11900" w:h="16838" w:orient="portrait"/>
          <w:cols w:equalWidth="0" w:num="2">
            <w:col w:w="9740" w:space="720"/>
            <w:col w:w="780"/>
          </w:cols>
          <w:pgMar w:left="320" w:top="1011" w:right="339" w:bottom="1113"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indirectly.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Level 3: Inputs are unobservable inputs for the asset or liability</w:t>
      </w:r>
    </w:p>
    <w:p>
      <w:pPr>
        <w:sectPr>
          <w:pgSz w:w="11900" w:h="16838" w:orient="portrait"/>
          <w:cols w:equalWidth="0" w:num="1">
            <w:col w:w="11240"/>
          </w:cols>
          <w:pgMar w:left="320" w:top="1011" w:right="339" w:bottom="1113" w:gutter="0" w:footer="0" w:header="0"/>
          <w:type w:val="continuous"/>
        </w:sectPr>
      </w:pPr>
    </w:p>
    <w:p>
      <w:pPr>
        <w:spacing w:after="0" w:line="236"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21"/>
                <w:szCs w:val="2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FF0FC"/>
          </w:tcPr>
          <w:p>
            <w:pPr>
              <w:spacing w:after="0"/>
              <w:rPr>
                <w:sz w:val="20"/>
                <w:szCs w:val="20"/>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tcPr>
          <w:p>
            <w:pPr>
              <w:spacing w:after="0"/>
              <w:rPr>
                <w:sz w:val="20"/>
                <w:szCs w:val="20"/>
                <w:color w:val="auto"/>
              </w:rPr>
            </w:pPr>
          </w:p>
        </w:tc>
      </w:tr>
      <w:tr>
        <w:trPr>
          <w:trHeight w:val="2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100" w:type="dxa"/>
            <w:vAlign w:val="bottom"/>
            <w:shd w:val="clear" w:color="auto" w:fill="CFF0FC"/>
          </w:tcPr>
          <w:p>
            <w:pPr>
              <w:spacing w:after="0"/>
              <w:rPr>
                <w:sz w:val="24"/>
                <w:szCs w:val="24"/>
                <w:color w:val="auto"/>
              </w:rPr>
            </w:pPr>
          </w:p>
        </w:tc>
      </w:tr>
      <w:tr>
        <w:trPr>
          <w:trHeight w:val="219"/>
        </w:trPr>
        <w:tc>
          <w:tcPr>
            <w:tcW w:w="5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100" w:type="dxa"/>
            <w:vAlign w:val="bottom"/>
            <w:shd w:val="clear" w:color="auto" w:fill="CFF0FC"/>
          </w:tcPr>
          <w:p>
            <w:pPr>
              <w:spacing w:after="0"/>
              <w:rPr>
                <w:sz w:val="21"/>
                <w:szCs w:val="21"/>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00" w:type="dxa"/>
            <w:vAlign w:val="bottom"/>
          </w:tcPr>
          <w:p>
            <w:pPr>
              <w:spacing w:after="0"/>
              <w:rPr>
                <w:sz w:val="20"/>
                <w:szCs w:val="20"/>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-1600835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-1600835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-1600835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-1275080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-1257935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-1275080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-1257935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-1275080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-1257935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-633095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-633095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-633095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Pr>
          <w:p>
            <w:pPr>
              <w:spacing w:after="0"/>
              <w:rPr>
                <w:sz w:val="20"/>
                <w:szCs w:val="20"/>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agency obligations</w:t>
            </w:r>
          </w:p>
        </w:tc>
        <w:tc>
          <w:tcPr>
            <w:tcW w:w="3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100" w:type="dxa"/>
            <w:vAlign w:val="bottom"/>
          </w:tcPr>
          <w:p>
            <w:pPr>
              <w:spacing w:after="0"/>
              <w:rPr>
                <w:sz w:val="20"/>
                <w:szCs w:val="20"/>
                <w:color w:val="auto"/>
              </w:rPr>
            </w:pPr>
          </w:p>
        </w:tc>
      </w:tr>
      <w:tr>
        <w:trPr>
          <w:trHeight w:val="27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78,358</w:t>
            </w:r>
          </w:p>
        </w:tc>
        <w:tc>
          <w:tcPr>
            <w:tcW w:w="100" w:type="dxa"/>
            <w:vAlign w:val="bottom"/>
            <w:shd w:val="clear" w:color="auto" w:fill="CFF0FC"/>
          </w:tcPr>
          <w:p>
            <w:pPr>
              <w:spacing w:after="0"/>
              <w:rPr>
                <w:sz w:val="24"/>
                <w:szCs w:val="24"/>
                <w:color w:val="auto"/>
              </w:rPr>
            </w:pPr>
          </w:p>
        </w:tc>
      </w:tr>
      <w:tr>
        <w:trPr>
          <w:trHeight w:val="219"/>
        </w:trPr>
        <w:tc>
          <w:tcPr>
            <w:tcW w:w="5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00" w:type="dxa"/>
            <w:vAlign w:val="bottom"/>
            <w:shd w:val="clear" w:color="auto" w:fill="CFF0FC"/>
          </w:tcPr>
          <w:p>
            <w:pPr>
              <w:spacing w:after="0"/>
              <w:rPr>
                <w:sz w:val="21"/>
                <w:szCs w:val="21"/>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100" w:type="dxa"/>
            <w:vAlign w:val="bottom"/>
          </w:tcPr>
          <w:p>
            <w:pPr>
              <w:spacing w:after="0"/>
              <w:rPr>
                <w:sz w:val="20"/>
                <w:szCs w:val="20"/>
                <w:color w:val="auto"/>
              </w:rPr>
            </w:pPr>
          </w:p>
        </w:tc>
      </w:tr>
      <w:tr>
        <w:trPr>
          <w:trHeight w:val="24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1"/>
                <w:szCs w:val="2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FF0FC"/>
          </w:tcPr>
          <w:p>
            <w:pPr>
              <w:spacing w:after="0"/>
              <w:rPr>
                <w:sz w:val="20"/>
                <w:szCs w:val="20"/>
                <w:color w:val="auto"/>
              </w:rPr>
            </w:pPr>
          </w:p>
        </w:tc>
      </w:tr>
      <w:tr>
        <w:trPr>
          <w:trHeight w:val="647"/>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5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-3133090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-3133090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-3133090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-2508250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-2508250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-2508250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-2182495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-2165350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-2182495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-2165350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-2182495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-2165350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-1540510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-1540510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-1540510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113"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presents the summary of changes in the fair value of our Level 3 financial instruments: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60" w:type="dxa"/>
            <w:vAlign w:val="bottom"/>
            <w:gridSpan w:val="5"/>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tcPr>
          <w:p>
            <w:pPr>
              <w:spacing w:after="0"/>
              <w:rPr>
                <w:sz w:val="21"/>
                <w:szCs w:val="21"/>
                <w:color w:val="auto"/>
              </w:rPr>
            </w:pPr>
          </w:p>
        </w:tc>
        <w:tc>
          <w:tcPr>
            <w:tcW w:w="34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on issuance date</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in earnings</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(1,190 )</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in other comprehensive</w:t>
            </w:r>
          </w:p>
        </w:tc>
        <w:tc>
          <w:tcPr>
            <w:tcW w:w="240" w:type="dxa"/>
            <w:vAlign w:val="bottom"/>
          </w:tcPr>
          <w:p>
            <w:pPr>
              <w:spacing w:after="0"/>
              <w:rPr>
                <w:sz w:val="18"/>
                <w:szCs w:val="18"/>
                <w:color w:val="auto"/>
              </w:rPr>
            </w:pPr>
          </w:p>
        </w:tc>
        <w:tc>
          <w:tcPr>
            <w:tcW w:w="2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(438 )</w:t>
            </w:r>
          </w:p>
        </w:tc>
        <w:tc>
          <w:tcPr>
            <w:tcW w:w="1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tcPr>
          <w:p>
            <w:pPr>
              <w:spacing w:after="0"/>
              <w:rPr>
                <w:sz w:val="20"/>
                <w:szCs w:val="20"/>
                <w:color w:val="auto"/>
              </w:rPr>
            </w:pPr>
          </w:p>
        </w:tc>
        <w:tc>
          <w:tcPr>
            <w:tcW w:w="2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 at fair value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Level 2 assets consist of U.S Treasury securities and U.S. Government Agency obligations.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 is recorded as Level 2. There were no transfers between fair value measurement levels during the periods ended June 30, 2024 and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fair value of the debt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debt valuation.</w:t>
      </w:r>
    </w:p>
    <w:p>
      <w:pPr>
        <w:spacing w:after="0" w:line="18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the debt is subject to net revenue requirements, the valuation of the debt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or the TTM revenues are equal to or higher than the targeted revenues per the Credit Agreement. The MCS performs 100,000 iterations of various simulated revenues to determine the fair value of the debt.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below assumptions were used in the Monte Carlo simulation</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600" w:type="dxa"/>
            <w:vAlign w:val="bottom"/>
          </w:tcPr>
          <w:p>
            <w:pPr>
              <w:spacing w:after="0"/>
              <w:rPr>
                <w:sz w:val="24"/>
                <w:szCs w:val="24"/>
                <w:color w:val="auto"/>
              </w:rPr>
            </w:pPr>
          </w:p>
        </w:tc>
        <w:tc>
          <w:tcPr>
            <w:tcW w:w="22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r>
      <w:tr>
        <w:trPr>
          <w:trHeight w:val="234"/>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4.34 %</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38"/>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64.00 %</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64.00 %</w:t>
            </w:r>
          </w:p>
        </w:tc>
      </w:tr>
      <w:tr>
        <w:trPr>
          <w:trHeight w:val="24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discount rate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17.11 %</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The fair value of the warrant liability is recognized in connection with the Credit Agreement. The fair value of the warrant liability was determined based on significant inputs not observable in the market, which represents a Level 3 measurement within the fair value hierarchy. The fair value of the warrant liability, which is reported within Warrant liability on the Consolidated Balance Sheets, is estimated by the Company based on the Black-Scholes option pricing model with the following key inputs: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gridSpan w:val="2"/>
          </w:tcPr>
          <w:p>
            <w:pPr>
              <w:spacing w:after="0"/>
              <w:rPr>
                <w:sz w:val="21"/>
                <w:szCs w:val="21"/>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Price of common stock</w:t>
            </w:r>
          </w:p>
        </w:tc>
        <w:tc>
          <w:tcPr>
            <w:tcW w:w="4040" w:type="dxa"/>
            <w:vAlign w:val="bottom"/>
            <w:gridSpan w:val="2"/>
            <w:shd w:val="clear" w:color="auto" w:fill="CFF0FC"/>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9.31 years</w:t>
            </w:r>
          </w:p>
        </w:tc>
        <w:tc>
          <w:tcPr>
            <w:tcW w:w="280" w:type="dxa"/>
            <w:vAlign w:val="bottom"/>
          </w:tcPr>
          <w:p>
            <w:pPr>
              <w:spacing w:after="0"/>
              <w:rPr>
                <w:sz w:val="20"/>
                <w:szCs w:val="20"/>
                <w:color w:val="auto"/>
              </w:rPr>
            </w:pPr>
          </w:p>
        </w:tc>
        <w:tc>
          <w:tcPr>
            <w:tcW w:w="21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9.81 years</w:t>
            </w:r>
          </w:p>
        </w:tc>
        <w:tc>
          <w:tcPr>
            <w:tcW w:w="60" w:type="dxa"/>
            <w:vAlign w:val="bottom"/>
          </w:tcPr>
          <w:p>
            <w:pPr>
              <w:spacing w:after="0"/>
              <w:rPr>
                <w:sz w:val="20"/>
                <w:szCs w:val="20"/>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54.21 %</w:t>
            </w:r>
          </w:p>
        </w:tc>
        <w:tc>
          <w:tcPr>
            <w:tcW w:w="28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31.07 %</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04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4.31 %</w:t>
            </w:r>
          </w:p>
        </w:tc>
        <w:tc>
          <w:tcPr>
            <w:tcW w:w="2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3.84 %</w:t>
            </w: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0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1"/>
                <w:szCs w:val="21"/>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661"/>
        </w:trPr>
        <w:tc>
          <w:tcPr>
            <w:tcW w:w="3600" w:type="dxa"/>
            <w:vAlign w:val="bottom"/>
          </w:tcPr>
          <w:p>
            <w:pPr>
              <w:spacing w:after="0"/>
              <w:rPr>
                <w:sz w:val="24"/>
                <w:szCs w:val="24"/>
                <w:color w:val="auto"/>
              </w:rPr>
            </w:pPr>
          </w:p>
        </w:tc>
        <w:tc>
          <w:tcPr>
            <w:tcW w:w="404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6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-1523365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27"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revenues primarily from the sale of:</w:t>
      </w:r>
    </w:p>
    <w:p>
      <w:pPr>
        <w:spacing w:after="0" w:line="117"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RECELL Ease of Use ("EOU"), RECELL GO RPK, and PermeaDerm products to hospitals, other treatment centers, and distributors.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 received from BARDA in exchange for first right of access to our inventory. In the prior year, the Company recorded service revenues for the emergency preparedness services provided to BARDA.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RECELL GO RPD.</w:t>
      </w:r>
    </w:p>
    <w:p>
      <w:pPr>
        <w:spacing w:after="0" w:line="225" w:lineRule="exact"/>
        <w:rPr>
          <w:sz w:val="20"/>
          <w:szCs w:val="20"/>
          <w:color w:val="auto"/>
        </w:rPr>
      </w:pPr>
    </w:p>
    <w:p>
      <w:pPr>
        <w:ind w:right="160" w:firstLine="749"/>
        <w:spacing w:after="0" w:line="312" w:lineRule="auto"/>
        <w:rPr>
          <w:sz w:val="20"/>
          <w:szCs w:val="20"/>
          <w:color w:val="auto"/>
        </w:rPr>
      </w:pPr>
      <w:r>
        <w:rPr>
          <w:rFonts w:ascii="Times New Roman" w:cs="Times New Roman" w:eastAsia="Times New Roman" w:hAnsi="Times New Roman"/>
          <w:sz w:val="17"/>
          <w:szCs w:val="17"/>
          <w:color w:val="auto"/>
        </w:rPr>
        <w:t>The Company’s sale of the EOU and PermeaDerm products are accounted for under ASC 606 Revenue from contracts with customers (“ASC 606”). Revenue for the RECELL GO device is disaggregated between two accounting standards: (1) ASC 606 for the RPK and (2) ASC 842 for the RPD.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RECELL GO</w:t>
      </w:r>
    </w:p>
    <w:p>
      <w:pPr>
        <w:spacing w:after="0" w:line="229" w:lineRule="exact"/>
        <w:rPr>
          <w:sz w:val="20"/>
          <w:szCs w:val="20"/>
          <w:color w:val="auto"/>
        </w:rPr>
      </w:pPr>
    </w:p>
    <w:p>
      <w:pPr>
        <w:ind w:right="200" w:firstLine="794"/>
        <w:spacing w:after="0" w:line="256" w:lineRule="auto"/>
        <w:rPr>
          <w:sz w:val="20"/>
          <w:szCs w:val="20"/>
          <w:color w:val="auto"/>
        </w:rPr>
      </w:pPr>
      <w:r>
        <w:rPr>
          <w:rFonts w:ascii="Times New Roman" w:cs="Times New Roman" w:eastAsia="Times New Roman" w:hAnsi="Times New Roman"/>
          <w:sz w:val="18"/>
          <w:szCs w:val="18"/>
          <w:color w:val="auto"/>
        </w:rPr>
        <w:t>The RECELL GO device consists of a single-use RPK and a durable AC powered device, RPD. The Company enters into contracts with customers where it receives consideration for the single-use RPK and does not receive additional consideration for the RPD. The consideration in the contract is allocated based on the SSP. Upon sale of the RPK the consideration is allocated to the lease and nonlease components. Consideration received for the RPK is recorded in Sales revenues in the Consolidated Statement of Operations and consideration for the lease is recorded in Lease revenue in the Consolidated Statement of Operations. During the three and six-months ended June 30, 2024, the Company recorded approximately $613,000 in Sales revenue related to the RPK and $12,000 related to Lease revenue in the Consolidated Statement of Operations,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Distributor Transactions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For international markets, the Company exclusively partners with third-party distributors (currently, COSMOTEC in Japan, and PolyMedics Innovation GmbH, in Germany).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Summary of Significant Accounting Policies in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PermeaDerm Sales</w:t>
      </w:r>
    </w:p>
    <w:p>
      <w:pPr>
        <w:spacing w:after="0" w:line="229"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As provided in the Stedical Scientific Distribution Agreement, the Company’s gross margin from the sale of PermeaDerm is 50% of the average sales price ("ASP"). The Company and Stedical share the gross revenue from the sale of the products evenly at 50% of ASP. The Company recognizes revenue when the customer obtains control of promised goods, in an amount that reflects the consideration to which the Company expects to be entitled in exchange for those goods.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Contract liabilities are calculated as the dollar value of the remaining performance obligations on executed contracts and primarily relate to COSMOTEC and other customers. The estimated revenue expected to be recognized in the future once the performance obligation is satisfied under the Company’s existing customer agreements is $545,000 and $390,000 as of June 30, 2024 and December 31, 2023, respectively. These amounts are classified between current and long-term in Other current liabilities and Contract liabilities in the Consolidated Balance Sheets. For current balances refer to Note 11 of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right="360" w:firstLine="749"/>
        <w:spacing w:after="0" w:line="265" w:lineRule="auto"/>
        <w:rPr>
          <w:sz w:val="20"/>
          <w:szCs w:val="20"/>
          <w:color w:val="auto"/>
        </w:rPr>
      </w:pPr>
      <w:r>
        <w:rPr>
          <w:rFonts w:ascii="Times New Roman" w:cs="Times New Roman" w:eastAsia="Times New Roman" w:hAnsi="Times New Roman"/>
          <w:sz w:val="18"/>
          <w:szCs w:val="18"/>
          <w:color w:val="auto"/>
        </w:rPr>
        <w:t>Contract assets include amounts related to the Company’s contractual right to consideration for both completed and partially completed performance for which the Company does not have the right to payment. As of June 30, 2024 and December 31, 2023, the Company does not have any contract assets.</w:t>
      </w:r>
    </w:p>
    <w:p>
      <w:pPr>
        <w:spacing w:after="0" w:line="177"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satisfying its obligation to transfer goods to a customer. Contract liability balance primarily relates to unsatisfied performance obligation with COSMOTEC of $374,000 and $390,000 as of June 30, 2024 and December 31, 2023, respectively. This balance is classified between current and long-term. As of June 30, 2024 and December 31, 2023, a total of $34,000 and $33,000, respectively, was included in Other current liabilities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8" w:name="page19"/>
    <w:bookmarkEnd w:id="18"/>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$340,000 and $357,000, respectively, in Contract liabilities in the Consolidated Balance Sheets. The Company has an additional $171,000 and zero, as of June 30, 2024 and December 31, 2023, respectively, in current contract liabilities not related to COSMOTEC. This balance will be recognized during the third quarter when the performance obligation is satisfied.</w:t>
      </w:r>
    </w:p>
    <w:p>
      <w:pPr>
        <w:spacing w:after="0" w:line="177"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The Company recognized approximately $8,000 and $17,000 of revenue from COSMOTEC for amounts included in the beginning balance of Contract liabilities for the three-months and six-months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by customer type and by product. As noted in the segment footnote, the Company’s business consists of one reporting segment. A reconciliation of revenue by geographical region, customer type and product are provided in Note 12 of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October 18, 2023 (the “Closing Date”) the Company entered into a credit agreement, by and between the Company, as borrower, and an affiliate of OrbiMed Advisors, LLC (the “Lender”) as the lender and administrative agent (the "Credit Agreement") . The Credit Agreement provides for a five-year senior secured credit facility in an aggregate principal amount of up to $90.0 million, of which (i) $40.0 million was made available on the Closing Date (the “Initial Commitment Amount”), (ii) $25.0 million is available, at the Company’s discretion, on or prior to December 31, 2024, subject to certain net revenue requirements, and (iii) $25.0 million is available, at the Company’s discretion, on or prior to June 30, 2025, subject to certain net revenue requirements. The maturity date of the agreement is October 18, 2028 (the "Maturity Date"). On the Closing Date, the Company closed on the Initial Commitment Amount of $40.0 million, less certain fees and expenses payable to or on behalf of the Lender. The Company received net proceeds of $38.8 million upon closing after deducting the Lender's transaction costs in connection with the issuance.</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the applicable repayment premium and exit fee of 3% on the principal amount of the loans. The repayment premium varies between 0.0% - 3.0%, depending on certain conditions that are defined in the Credit Agreement. The repayment premium incorporates the make-whole amount. The make-whole amount represents the remaining scheduled interest payments on the loan during the period commencing on the prepayment date through the 24-month anniversary of the Closing Date. The Credit Agreement further states that the Company will be required to repay the principal amount of the loans if the Company does not achieve certain net revenue thresholds. If, for any quarter until the maturity date, the Company’s net revenue does not equal or exceed the applicable trailing 12-month amount as set forth in the Credit Agreement, then the Company shall repay in equal quarterly installments equal to 5.0% of the outstanding principal amount of the loan on the date the net revenue amount was not satisfied, together with a repayment premium and exit fee. The Company shall repay amounts outstanding in full immediately upon an acceleration as a result of an event of default as set forth in the Credit Agreement, together with a repayment premium and other fees. As of June 30, 2024, the Company has not made any repayments on the outstanding debt balance.</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term of the Credit Agreement, interest payable in cash by the Company shall accrue on any outstanding debt at a rate per annum equal to the greater of (x) the SOFR rate for such period and (y) 4.00% plus, in either case, 8.00%. As of June 30, 2024, the interest rate was 13.33%. During an event of default, any outstanding amount will bear interest at a rate of 4.00% in excess of the otherwise applicable rate of interest. The Company will pay certain fees with respect to the Credit Agreement, including an upfront fee, an unused fee on the undrawn portion of the Loan Facility, an administration fee, a repayment premium and an exit fee, as well as certain other fees and expenses of the Lender. The undrawn fee accrues at 0.5% of the undrawn balance and it is recorded as an asset in the Consolidated Balance Sheets.</w:t>
      </w:r>
    </w:p>
    <w:p>
      <w:pPr>
        <w:spacing w:after="0" w:line="18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As of June 30, 2024, the Company was in compliance with all financial covenants in the Credit Agreement.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Each of the Credit Agreement and the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9" w:name="page20"/>
    <w:bookmarkEnd w:id="19"/>
    <w:p>
      <w:pPr>
        <w:jc w:val="both"/>
        <w:spacing w:after="0" w:line="265" w:lineRule="auto"/>
        <w:rPr>
          <w:sz w:val="20"/>
          <w:szCs w:val="20"/>
          <w:color w:val="auto"/>
        </w:rPr>
      </w:pPr>
      <w:r>
        <w:rPr>
          <w:rFonts w:ascii="Times New Roman" w:cs="Times New Roman" w:eastAsia="Times New Roman" w:hAnsi="Times New Roman"/>
          <w:sz w:val="18"/>
          <w:szCs w:val="18"/>
          <w:color w:val="auto"/>
        </w:rPr>
        <w:t>capital stock; amend certain material documents; redeem or repurchase certain debt; engage in certain transactions with affiliates; and enter into certain restrictive agreements. In addition, the Company and guarantors will be required to maintain at least $10.0 million of unrestricted cash and cash equivalents.</w:t>
      </w:r>
    </w:p>
    <w:p>
      <w:pPr>
        <w:spacing w:after="0" w:line="17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On the Closing Date, the Company issued to an affiliate of the Lender a warrant (the “Warrant”) to purchase up to 409,661 shares of the Company’s Common Stock, par value $0.0001 per share (“Common Stock”), at an exercise price of $10.9847 per share, with a term of 10 years from the issuance date. The Warrant contains customary share adjustment provisions, as well as weighted average price protection in certain circumstances.</w:t>
      </w:r>
    </w:p>
    <w:p>
      <w:pPr>
        <w:spacing w:after="0" w:line="175"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As permitted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Company elected the fair value option to record the long-term debt and warrant with changes in fair value recorded in the Consolidated Statements of Operations in Other income, net. Changes related to instrument-specific credit risk are revalued by comparing the amount of the total change in fair value of the long-term debt to the amount of change in fair value that would have occurred if the Company’s credit spread had not changed between the reporting periods, and is recorded in other comprehensive income in the Consolidated Balance Sheet. The difference between the fair value of the long-term debt and the unpaid principal balance of $40.0 million is an additional liability of $989,000 and reduction to the liability of $188,000 as of June 30, 2024 and December 31, 2023, respectively. For changes in fair value refer to Note 4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During January 2024 and April 2024, the Company modified the lease agreement of the Ventura production facility to extend the lease term. The modifications resulted in an aggregate increase of approximately $2.1 million to the operating lease ROU assets and operating lease liabilities. There was no impact on earnings as a result of the lease modification.</w:t>
      </w:r>
    </w:p>
    <w:p>
      <w:pPr>
        <w:spacing w:after="0" w:line="177"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Company’s operating lease expenses which are included in operating expenses in the Consolidated Statements of Operations (in thousands):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40"/>
        </w:trPr>
        <w:tc>
          <w:tcPr>
            <w:tcW w:w="3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80" w:type="dxa"/>
            <w:vAlign w:val="bottom"/>
          </w:tcPr>
          <w:p>
            <w:pPr>
              <w:spacing w:after="0"/>
              <w:rPr>
                <w:sz w:val="20"/>
                <w:szCs w:val="20"/>
                <w:color w:val="auto"/>
              </w:rPr>
            </w:pPr>
          </w:p>
        </w:tc>
      </w:tr>
      <w:tr>
        <w:trPr>
          <w:trHeight w:val="238"/>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FF0FC"/>
          </w:tcPr>
          <w:p>
            <w:pPr>
              <w:spacing w:after="0"/>
              <w:rPr>
                <w:sz w:val="20"/>
                <w:szCs w:val="20"/>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r>
      <w:tr>
        <w:trPr>
          <w:trHeight w:val="276"/>
        </w:trPr>
        <w:tc>
          <w:tcPr>
            <w:tcW w:w="3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ind w:right="820" w:firstLine="749"/>
        <w:spacing w:after="0" w:line="281" w:lineRule="auto"/>
        <w:rPr>
          <w:sz w:val="20"/>
          <w:szCs w:val="20"/>
          <w:color w:val="auto"/>
        </w:rPr>
      </w:pPr>
      <w:r>
        <w:rPr>
          <w:rFonts w:ascii="Times New Roman" w:cs="Times New Roman" w:eastAsia="Times New Roman" w:hAnsi="Times New Roman"/>
          <w:sz w:val="18"/>
          <w:szCs w:val="18"/>
          <w:color w:val="auto"/>
        </w:rPr>
        <w:t>Supplemental cash flow information related to operating leases for the three-months and six-months ended June 30, 2024 and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960" w:type="dxa"/>
            <w:vAlign w:val="bottom"/>
          </w:tcPr>
          <w:p>
            <w:pPr>
              <w:spacing w:after="0"/>
              <w:rPr>
                <w:sz w:val="21"/>
                <w:szCs w:val="21"/>
                <w:color w:val="auto"/>
              </w:rPr>
            </w:pPr>
          </w:p>
        </w:tc>
      </w:tr>
      <w:tr>
        <w:trPr>
          <w:trHeight w:val="240"/>
        </w:trPr>
        <w:tc>
          <w:tcPr>
            <w:tcW w:w="9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7"/>
        </w:trPr>
        <w:tc>
          <w:tcPr>
            <w:tcW w:w="960" w:type="dxa"/>
            <w:vAlign w:val="bottom"/>
          </w:tcPr>
          <w:p>
            <w:pPr>
              <w:spacing w:after="0"/>
              <w:rPr>
                <w:sz w:val="17"/>
                <w:szCs w:val="17"/>
                <w:color w:val="auto"/>
              </w:rPr>
            </w:pPr>
          </w:p>
        </w:tc>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tcPr>
          <w:p>
            <w:pPr>
              <w:spacing w:after="0"/>
              <w:rPr>
                <w:sz w:val="17"/>
                <w:szCs w:val="17"/>
                <w:color w:val="auto"/>
              </w:rPr>
            </w:pPr>
          </w:p>
        </w:tc>
      </w:tr>
      <w:tr>
        <w:trPr>
          <w:trHeight w:val="248"/>
        </w:trPr>
        <w:tc>
          <w:tcPr>
            <w:tcW w:w="960" w:type="dxa"/>
            <w:vAlign w:val="bottom"/>
          </w:tcPr>
          <w:p>
            <w:pPr>
              <w:spacing w:after="0"/>
              <w:rPr>
                <w:sz w:val="21"/>
                <w:szCs w:val="21"/>
                <w:color w:val="auto"/>
              </w:rPr>
            </w:pPr>
          </w:p>
        </w:tc>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96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750"/>
        </w:trPr>
        <w:tc>
          <w:tcPr>
            <w:tcW w:w="9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2"/>
        </w:trPr>
        <w:tc>
          <w:tcPr>
            <w:tcW w:w="9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20" w:name="page21"/>
    <w:bookmarkEnd w:id="20"/>
    <w:p>
      <w:pPr>
        <w:ind w:right="240" w:firstLine="749"/>
        <w:spacing w:after="0" w:line="281" w:lineRule="auto"/>
        <w:rPr>
          <w:sz w:val="20"/>
          <w:szCs w:val="20"/>
          <w:color w:val="auto"/>
        </w:rPr>
      </w:pPr>
      <w:r>
        <w:rPr>
          <w:rFonts w:ascii="Times New Roman" w:cs="Times New Roman" w:eastAsia="Times New Roman" w:hAnsi="Times New Roman"/>
          <w:sz w:val="18"/>
          <w:szCs w:val="18"/>
          <w:color w:val="auto"/>
        </w:rPr>
        <w:t>Supplemental balance sheet information, as of June 30, 2024 and December 31, 2023, related to operating leases was as follows (in thousands, except for operating lease weighted average remaining lease term and operating lease weighted average discount rate):</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245"/>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160" w:type="dxa"/>
            <w:vAlign w:val="bottom"/>
            <w:gridSpan w:val="5"/>
          </w:tcPr>
          <w:p>
            <w:pPr>
              <w:jc w:val="right"/>
              <w:ind w:right="176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40"/>
        </w:trPr>
        <w:tc>
          <w:tcPr>
            <w:tcW w:w="5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gridSpan w:val="2"/>
          </w:tcPr>
          <w:p>
            <w:pPr>
              <w:spacing w:after="0"/>
              <w:rPr>
                <w:sz w:val="20"/>
                <w:szCs w:val="20"/>
                <w:color w:val="auto"/>
              </w:rPr>
            </w:pPr>
          </w:p>
        </w:tc>
      </w:tr>
      <w:tr>
        <w:trPr>
          <w:trHeight w:val="238"/>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right-of-use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6"/>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18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9.69 %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-144780</wp:posOffset>
            </wp:positionV>
            <wp:extent cx="584835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48350" cy="15430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-975360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-958215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-975360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-958215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-324485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-307340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-324485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-307340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2024, maturities of the Company’s operating lease liabilities are as follows (in thousands):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FF0FC"/>
          </w:tcPr>
          <w:p>
            <w:pPr>
              <w:spacing w:after="0"/>
              <w:rPr>
                <w:sz w:val="21"/>
                <w:szCs w:val="2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0"/>
                <w:szCs w:val="20"/>
                <w:color w:val="auto"/>
              </w:rPr>
            </w:pPr>
          </w:p>
        </w:tc>
      </w:tr>
      <w:tr>
        <w:trPr>
          <w:trHeight w:val="247"/>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FF0FC"/>
          </w:tcPr>
          <w:p>
            <w:pPr>
              <w:spacing w:after="0"/>
              <w:rPr>
                <w:sz w:val="21"/>
                <w:szCs w:val="2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20"/>
                <w:szCs w:val="20"/>
                <w:color w:val="auto"/>
              </w:rPr>
            </w:pPr>
          </w:p>
        </w:tc>
      </w:tr>
      <w:tr>
        <w:trPr>
          <w:trHeight w:val="247"/>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FF0FC"/>
          </w:tcPr>
          <w:p>
            <w:pPr>
              <w:spacing w:after="0"/>
              <w:rPr>
                <w:sz w:val="21"/>
                <w:szCs w:val="21"/>
                <w:color w:val="auto"/>
              </w:rPr>
            </w:pPr>
          </w:p>
        </w:tc>
      </w:tr>
      <w:tr>
        <w:trPr>
          <w:trHeight w:val="24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21"/>
                <w:szCs w:val="21"/>
                <w:color w:val="auto"/>
              </w:rPr>
            </w:pPr>
          </w:p>
        </w:tc>
      </w:t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shd w:val="clear" w:color="auto" w:fill="CFF0FC"/>
          </w:tcPr>
          <w:p>
            <w:pPr>
              <w:spacing w:after="0"/>
              <w:rPr>
                <w:sz w:val="20"/>
                <w:szCs w:val="20"/>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(1,071 )</w:t>
            </w:r>
          </w:p>
        </w:tc>
      </w:tr>
      <w:tr>
        <w:trPr>
          <w:trHeight w:val="27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2024, there were no leases entered into that had not yet commenced.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55" w:lineRule="exact"/>
        <w:rPr>
          <w:sz w:val="20"/>
          <w:szCs w:val="20"/>
          <w:color w:val="auto"/>
        </w:rPr>
      </w:pPr>
    </w:p>
    <w:p>
      <w:pPr>
        <w:jc w:val="both"/>
        <w:ind w:right="320" w:firstLine="749"/>
        <w:spacing w:after="0" w:line="265" w:lineRule="auto"/>
        <w:rPr>
          <w:sz w:val="20"/>
          <w:szCs w:val="20"/>
          <w:color w:val="auto"/>
        </w:rPr>
      </w:pPr>
      <w:r>
        <w:rPr>
          <w:rFonts w:ascii="Times New Roman" w:cs="Times New Roman" w:eastAsia="Times New Roman" w:hAnsi="Times New Roman"/>
          <w:sz w:val="18"/>
          <w:szCs w:val="18"/>
          <w:color w:val="auto"/>
        </w:rPr>
        <w:t xml:space="preserve">As discussed in Note 5 </w:t>
      </w:r>
      <w:r>
        <w:rPr>
          <w:rFonts w:ascii="Times New Roman" w:cs="Times New Roman" w:eastAsia="Times New Roman" w:hAnsi="Times New Roman"/>
          <w:sz w:val="16"/>
          <w:szCs w:val="16"/>
          <w:color w:val="auto"/>
        </w:rPr>
        <w:t>o</w:t>
      </w:r>
      <w:r>
        <w:rPr>
          <w:rFonts w:ascii="Times New Roman" w:cs="Times New Roman" w:eastAsia="Times New Roman" w:hAnsi="Times New Roman"/>
          <w:sz w:val="18"/>
          <w:szCs w:val="18"/>
          <w:color w:val="auto"/>
        </w:rPr>
        <w:t>f our Consolidated Financial Statements, the contracts for the RECELL GO device include an operating lease for the customer’s right to use the RPD. The lease is recorded as an operating lease. The RPD is provided to the customer for no additional consideration. The variable consideration related to the lease is allocated based on the SPP and it is recognized upon purchase of the RPK.</w:t>
      </w:r>
    </w:p>
    <w:p>
      <w:pPr>
        <w:spacing w:after="0" w:line="177" w:lineRule="exact"/>
        <w:rPr>
          <w:sz w:val="20"/>
          <w:szCs w:val="20"/>
          <w:color w:val="auto"/>
        </w:rPr>
      </w:pPr>
    </w:p>
    <w:p>
      <w:pPr>
        <w:ind w:right="520" w:firstLine="749"/>
        <w:spacing w:after="0" w:line="265" w:lineRule="auto"/>
        <w:rPr>
          <w:sz w:val="20"/>
          <w:szCs w:val="20"/>
          <w:color w:val="auto"/>
        </w:rPr>
      </w:pPr>
      <w:r>
        <w:rPr>
          <w:rFonts w:ascii="Times New Roman" w:cs="Times New Roman" w:eastAsia="Times New Roman" w:hAnsi="Times New Roman"/>
          <w:sz w:val="18"/>
          <w:szCs w:val="18"/>
          <w:color w:val="auto"/>
        </w:rPr>
        <w:t>The table below summarizes the Company's lease revenues as presented in the Consolidated Statement of Operations for the three and six-months ended June 30, 2024 and 2023. The lease arrangement does not contain fixed consideration. Variable lease payments are not included in consideration at lease inception.</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Three and Six-Months Ended</w:t>
            </w: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21"/>
                <w:szCs w:val="21"/>
                <w:color w:val="auto"/>
              </w:rPr>
            </w:pPr>
          </w:p>
        </w:tc>
      </w:tr>
      <w:tr>
        <w:trPr>
          <w:trHeight w:val="23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for lease and included in property and equipment consisted of the following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Pr>
          <w:p>
            <w:pPr>
              <w:spacing w:after="0"/>
              <w:rPr>
                <w:sz w:val="21"/>
                <w:szCs w:val="21"/>
                <w:color w:val="auto"/>
              </w:rPr>
            </w:pPr>
          </w:p>
        </w:tc>
      </w:tr>
      <w:tr>
        <w:trPr>
          <w:trHeight w:val="240"/>
        </w:trPr>
        <w:tc>
          <w:tcPr>
            <w:tcW w:w="8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8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8"/>
        </w:trPr>
        <w:tc>
          <w:tcPr>
            <w:tcW w:w="86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RPD assets</w:t>
            </w:r>
          </w:p>
        </w:tc>
        <w:tc>
          <w:tcPr>
            <w:tcW w:w="33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84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6"/>
        </w:trPr>
        <w:tc>
          <w:tcPr>
            <w:tcW w:w="860" w:type="dxa"/>
            <w:vAlign w:val="bottom"/>
          </w:tcPr>
          <w:p>
            <w:pPr>
              <w:spacing w:after="0"/>
              <w:rPr>
                <w:sz w:val="24"/>
                <w:szCs w:val="24"/>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RPD assets</w:t>
            </w:r>
          </w:p>
        </w:tc>
        <w:tc>
          <w:tcPr>
            <w:tcW w:w="33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24"/>
                <w:szCs w:val="24"/>
                <w:color w:val="auto"/>
              </w:rPr>
            </w:pPr>
          </w:p>
        </w:tc>
        <w:tc>
          <w:tcPr>
            <w:tcW w:w="840" w:type="dxa"/>
            <w:vAlign w:val="bottom"/>
          </w:tcPr>
          <w:p>
            <w:pPr>
              <w:spacing w:after="0"/>
              <w:rPr>
                <w:sz w:val="24"/>
                <w:szCs w:val="24"/>
                <w:color w:val="auto"/>
              </w:rPr>
            </w:pPr>
          </w:p>
        </w:tc>
      </w:tr>
      <w:tr>
        <w:trPr>
          <w:trHeight w:val="843"/>
        </w:trPr>
        <w:tc>
          <w:tcPr>
            <w:tcW w:w="86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2660" w:type="dxa"/>
            <w:vAlign w:val="bottom"/>
            <w:tcBorders>
              <w:top w:val="single" w:sz="8" w:color="CFF0FC"/>
            </w:tcBorders>
          </w:tcPr>
          <w:p>
            <w:pPr>
              <w:jc w:val="right"/>
              <w:ind w:right="99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40" w:type="dxa"/>
            <w:vAlign w:val="bottom"/>
          </w:tcPr>
          <w:p>
            <w:pPr>
              <w:spacing w:after="0"/>
              <w:rPr>
                <w:sz w:val="24"/>
                <w:szCs w:val="24"/>
                <w:color w:val="auto"/>
              </w:rPr>
            </w:pPr>
          </w:p>
        </w:tc>
      </w:tr>
      <w:tr>
        <w:trPr>
          <w:trHeight w:val="762"/>
        </w:trPr>
        <w:tc>
          <w:tcPr>
            <w:tcW w:w="8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-1069975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-1052830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2" w:right="339" w:bottom="1113"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the inventory is as follows (in thousands):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0"/>
        </w:trPr>
        <w:tc>
          <w:tcPr>
            <w:tcW w:w="41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20" w:type="dxa"/>
            <w:vAlign w:val="bottom"/>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FF0FC"/>
          </w:tcPr>
          <w:p>
            <w:pPr>
              <w:spacing w:after="0"/>
              <w:rPr>
                <w:sz w:val="20"/>
                <w:szCs w:val="20"/>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20"/>
                <w:szCs w:val="20"/>
                <w:color w:val="auto"/>
              </w:rPr>
            </w:pPr>
          </w:p>
        </w:tc>
      </w:tr>
      <w:tr>
        <w:trPr>
          <w:trHeight w:val="243"/>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-187960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The Company values its inventories to reflect the lower of cost or net realizable value. Charges for estimated excess and obsolescence are recorded in Cost of sales in the Consolidated Statements of Operations and were $151,000 and $2,000 for the three-months ended June 30, 2024 and 2023, respectively, and $234,000 and $68,000 for the six-months ended June 30, 2024 and 2023, respectively. The inventory balance as of June 30, 2024, includes inventory purchased from Stedical for the sales of PermeaDerm.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intangible assets, net is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020" w:type="dxa"/>
            <w:vAlign w:val="bottom"/>
          </w:tcPr>
          <w:p>
            <w:pPr>
              <w:spacing w:after="0"/>
              <w:rPr>
                <w:sz w:val="17"/>
                <w:szCs w:val="17"/>
                <w:color w:val="auto"/>
              </w:rPr>
            </w:pPr>
          </w:p>
        </w:tc>
        <w:tc>
          <w:tcPr>
            <w:tcW w:w="162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7"/>
                <w:szCs w:val="17"/>
                <w:color w:val="auto"/>
              </w:rPr>
            </w:pPr>
          </w:p>
        </w:tc>
      </w:tr>
      <w:tr>
        <w:trPr>
          <w:trHeight w:val="202"/>
        </w:trPr>
        <w:tc>
          <w:tcPr>
            <w:tcW w:w="2020" w:type="dxa"/>
            <w:vAlign w:val="bottom"/>
          </w:tcPr>
          <w:p>
            <w:pPr>
              <w:spacing w:after="0"/>
              <w:rPr>
                <w:sz w:val="17"/>
                <w:szCs w:val="17"/>
                <w:color w:val="auto"/>
              </w:rPr>
            </w:pPr>
          </w:p>
        </w:tc>
        <w:tc>
          <w:tcPr>
            <w:tcW w:w="1620" w:type="dxa"/>
            <w:vAlign w:val="bottom"/>
          </w:tcPr>
          <w:p>
            <w:pPr>
              <w:jc w:val="center"/>
              <w:ind w:left="172"/>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200" w:type="dxa"/>
            <w:vAlign w:val="bottom"/>
          </w:tcPr>
          <w:p>
            <w:pPr>
              <w:spacing w:after="0"/>
              <w:rPr>
                <w:sz w:val="17"/>
                <w:szCs w:val="17"/>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w:t>
            </w:r>
          </w:p>
        </w:tc>
      </w:tr>
      <w:tr>
        <w:trPr>
          <w:trHeight w:val="222"/>
        </w:trPr>
        <w:tc>
          <w:tcPr>
            <w:tcW w:w="2020" w:type="dxa"/>
            <w:vAlign w:val="bottom"/>
          </w:tcPr>
          <w:p>
            <w:pPr>
              <w:spacing w:after="0"/>
              <w:rPr>
                <w:sz w:val="19"/>
                <w:szCs w:val="19"/>
                <w:color w:val="auto"/>
              </w:rPr>
            </w:pPr>
          </w:p>
        </w:tc>
        <w:tc>
          <w:tcPr>
            <w:tcW w:w="1620" w:type="dxa"/>
            <w:vAlign w:val="bottom"/>
          </w:tcPr>
          <w:p>
            <w:pPr>
              <w:jc w:val="center"/>
              <w:ind w:left="172"/>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5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1</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2</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3</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5</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6</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8</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9</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20"/>
                <w:szCs w:val="20"/>
                <w:color w:val="auto"/>
              </w:rPr>
            </w:pPr>
          </w:p>
        </w:tc>
      </w:tr>
      <w:tr>
        <w:trPr>
          <w:trHeight w:val="247"/>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10</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11</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0"/>
        </w:trPr>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-187960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-187960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-187960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three-months and six-months ended June 30, 2024 and 2023 the Company recorded an impairment charge for patents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$16,000 and $4,000, respectively, in General and administrative expenses in the Consolidated Statement of Operations. Amortization expense of intangibles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Consolidated Statements of Operations was $17,000 and $8,000 for the three-months ended June 30, 2024 and 2023,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 and $17,000 for the six-months ended June 30, 2024 and 2023, respectively.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the future amortization of amortizable intangible assets held at June 30, 2024 to be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-1095375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1" w:right="339" w:bottom="1005"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Plant and Equipment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plant and equipment, net is as follows (in thousands):</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245"/>
        </w:trPr>
        <w:tc>
          <w:tcPr>
            <w:tcW w:w="33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22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20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2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3 - 5 years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20"/>
                <w:szCs w:val="20"/>
                <w:color w:val="auto"/>
              </w:rPr>
            </w:pPr>
          </w:p>
        </w:tc>
        <w:tc>
          <w:tcPr>
            <w:tcW w:w="780" w:type="dxa"/>
            <w:vAlign w:val="bottom"/>
            <w:tcBorders>
              <w:top w:val="single" w:sz="8" w:color="auto"/>
            </w:tcBorders>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 years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3 - 5 years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Lesser of life or lease term</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RECELL moulds</w:t>
            </w:r>
          </w:p>
        </w:tc>
        <w:tc>
          <w:tcPr>
            <w:tcW w:w="2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RECELL GO RPD</w:t>
            </w: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 uses</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 - RPD</w:t>
            </w:r>
          </w:p>
        </w:tc>
        <w:tc>
          <w:tcPr>
            <w:tcW w:w="2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200 uses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(2,773 )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(2,432 )</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plant and equipment, net</w:t>
            </w:r>
          </w:p>
        </w:tc>
        <w:tc>
          <w:tcPr>
            <w:tcW w:w="2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-24765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Construction in progress consists primarily of leasehold improvements for the renovations to the Ventura production facility and materials for the manufacture of the RECELL GO RPDs. Operating lease assets have a useful life of 200 uses and are being amortized based on customer usage as determined by orders placed for the sales of RPK units. RECELL GO RPD represents assets available to be leased by customers.</w:t>
      </w:r>
    </w:p>
    <w:p>
      <w:pPr>
        <w:spacing w:after="0" w:line="24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Depreciation expense related to plant and equipment was $187,000 and $137,000 for the three-months ended June 30, 2024 and 2023, respectively, and $373,000 and $264,000 for the six-months ended June 30, 2024 and 2023, respectively. During the three-months and six-months ended June 30, 2024, the Company recorded an impairment of fixed assets of approximately $5,000. During the three-months and six-months ended June 30, 2023, the Company recorded an impairment of fixed assets of approximately $3,000. Amounts are recorded in General and administrative expenses in the Consolidated Statement of Operations.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and Long-Term Assets and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(in thousands):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0"/>
        </w:trPr>
        <w:tc>
          <w:tcPr>
            <w:tcW w:w="4120" w:type="dxa"/>
            <w:vAlign w:val="bottom"/>
          </w:tcPr>
          <w:p>
            <w:pPr>
              <w:spacing w:after="0"/>
              <w:rPr>
                <w:sz w:val="20"/>
                <w:szCs w:val="20"/>
                <w:color w:val="auto"/>
              </w:rPr>
            </w:pPr>
          </w:p>
        </w:tc>
        <w:tc>
          <w:tcPr>
            <w:tcW w:w="1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8"/>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8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20"/>
                <w:szCs w:val="20"/>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Stedical</w:t>
            </w:r>
          </w:p>
        </w:tc>
        <w:tc>
          <w:tcPr>
            <w:tcW w:w="1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FF0FC"/>
          </w:tcPr>
          <w:p>
            <w:pPr>
              <w:spacing w:after="0"/>
              <w:rPr>
                <w:sz w:val="21"/>
                <w:szCs w:val="21"/>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1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r>
      <w:tr>
        <w:trPr>
          <w:trHeight w:val="247"/>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prepaids and other current assets</w:t>
            </w:r>
          </w:p>
        </w:tc>
        <w:tc>
          <w:tcPr>
            <w:tcW w:w="18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-187960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 expenses primarily consist of prepaid benefits and insurance.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lease deposits</w:t>
            </w:r>
          </w:p>
        </w:tc>
        <w:tc>
          <w:tcPr>
            <w:tcW w:w="3060" w:type="dxa"/>
            <w:vAlign w:val="bottom"/>
            <w:gridSpan w:val="2"/>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prepaids</w:t>
            </w: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14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06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-1095375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-1095375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5" w:right="339" w:bottom="978" w:gutter="0" w:footer="0" w:header="0"/>
        </w:sectPr>
      </w:pPr>
    </w:p>
    <w:bookmarkStart w:id="23" w:name="page24"/>
    <w:bookmarkEnd w:id="23"/>
    <w:tbl>
      <w:tblPr>
        <w:tblLayout w:type="fixed"/>
        <w:tblInd w:w="76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3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0"/>
        </w:trPr>
        <w:tc>
          <w:tcPr>
            <w:tcW w:w="3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38"/>
        </w:trPr>
        <w:tc>
          <w:tcPr>
            <w:tcW w:w="380" w:type="dxa"/>
            <w:vAlign w:val="bottom"/>
          </w:tcPr>
          <w:p>
            <w:pPr>
              <w:spacing w:after="0"/>
              <w:rPr>
                <w:sz w:val="20"/>
                <w:szCs w:val="20"/>
                <w:color w:val="auto"/>
              </w:rPr>
            </w:pPr>
          </w:p>
        </w:tc>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720" w:type="dxa"/>
            <w:vAlign w:val="bottom"/>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FF0FC"/>
          </w:tcPr>
          <w:p>
            <w:pPr>
              <w:spacing w:after="0"/>
              <w:rPr>
                <w:sz w:val="20"/>
                <w:szCs w:val="20"/>
                <w:color w:val="auto"/>
              </w:rPr>
            </w:pPr>
          </w:p>
        </w:tc>
      </w:tr>
      <w:tr>
        <w:trPr>
          <w:trHeight w:val="238"/>
        </w:trPr>
        <w:tc>
          <w:tcPr>
            <w:tcW w:w="38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380" w:type="dxa"/>
            <w:vAlign w:val="bottom"/>
          </w:tcPr>
          <w:p>
            <w:pPr>
              <w:spacing w:after="0"/>
              <w:rPr>
                <w:sz w:val="20"/>
                <w:szCs w:val="20"/>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7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-187960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Reporting Segment and Geographic Information</w:t>
      </w:r>
    </w:p>
    <w:p>
      <w:pPr>
        <w:spacing w:after="0" w:line="229"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Long-lived assets are primarily located in the United States as of June 30, 2024, and December 31, 2023.</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region for the three-months and six-months ended June 30, 2024 and 2023 were as follows (in thousands):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40"/>
        </w:trPr>
        <w:tc>
          <w:tcPr>
            <w:tcW w:w="3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80" w:type="dxa"/>
            <w:vAlign w:val="bottom"/>
          </w:tcPr>
          <w:p>
            <w:pPr>
              <w:spacing w:after="0"/>
              <w:rPr>
                <w:sz w:val="20"/>
                <w:szCs w:val="20"/>
                <w:color w:val="auto"/>
              </w:rPr>
            </w:pPr>
          </w:p>
        </w:tc>
      </w:tr>
      <w:tr>
        <w:trPr>
          <w:trHeight w:val="232"/>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region:</w:t>
            </w:r>
          </w:p>
        </w:tc>
        <w:tc>
          <w:tcPr>
            <w:tcW w:w="1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r>
      <w:tr>
        <w:trPr>
          <w:trHeight w:val="24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80" w:type="dxa"/>
            <w:vAlign w:val="bottom"/>
          </w:tcPr>
          <w:p>
            <w:pPr>
              <w:spacing w:after="0"/>
              <w:rPr>
                <w:sz w:val="21"/>
                <w:szCs w:val="21"/>
                <w:color w:val="auto"/>
              </w:rPr>
            </w:pPr>
          </w:p>
        </w:tc>
      </w:tr>
      <w:tr>
        <w:trPr>
          <w:trHeight w:val="26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shd w:val="clear" w:color="auto" w:fill="CFF0FC"/>
          </w:tcPr>
          <w:p>
            <w:pPr>
              <w:spacing w:after="0"/>
              <w:rPr>
                <w:sz w:val="22"/>
                <w:szCs w:val="22"/>
                <w:color w:val="auto"/>
              </w:rPr>
            </w:pPr>
          </w:p>
        </w:tc>
      </w:tr>
      <w:tr>
        <w:trPr>
          <w:trHeight w:val="24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6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2"/>
                <w:szCs w:val="22"/>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r>
      <w:tr>
        <w:trPr>
          <w:trHeight w:val="276"/>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-24765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-24765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customer type for the three-months and six-months ended June 30, 2024 and 2023 were as follows (in thousands):</w:t>
      </w:r>
    </w:p>
    <w:p>
      <w:pPr>
        <w:spacing w:after="0" w:line="35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customer type:</w:t>
            </w:r>
          </w:p>
        </w:tc>
        <w:tc>
          <w:tcPr>
            <w:tcW w:w="1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commercial revenue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BARDA services for emergency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preparedness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BARDA revenue for right of first</w:t>
            </w:r>
          </w:p>
        </w:tc>
        <w:tc>
          <w:tcPr>
            <w:tcW w:w="18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access</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-187960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-187960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Commercial revenue by product for the three-months and six-months ended June 30, 2024 and 2023 were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84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4"/>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revenue by product:</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860" w:type="dxa"/>
            <w:vAlign w:val="bottom"/>
          </w:tcPr>
          <w:p>
            <w:pPr>
              <w:spacing w:after="0"/>
              <w:rPr>
                <w:sz w:val="21"/>
                <w:szCs w:val="21"/>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shd w:val="clear" w:color="auto" w:fill="CFF0FC"/>
          </w:tcPr>
          <w:p>
            <w:pPr>
              <w:spacing w:after="0"/>
              <w:rPr>
                <w:sz w:val="21"/>
                <w:szCs w:val="21"/>
                <w:color w:val="auto"/>
              </w:rPr>
            </w:pPr>
          </w:p>
        </w:tc>
        <w:tc>
          <w:tcPr>
            <w:tcW w:w="840" w:type="dxa"/>
            <w:vAlign w:val="bottom"/>
          </w:tcPr>
          <w:p>
            <w:pPr>
              <w:spacing w:after="0"/>
              <w:rPr>
                <w:sz w:val="21"/>
                <w:szCs w:val="21"/>
                <w:color w:val="auto"/>
              </w:rPr>
            </w:pPr>
          </w:p>
        </w:tc>
      </w:tr>
      <w:tr>
        <w:trPr>
          <w:trHeight w:val="238"/>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wound care products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7"/>
        </w:trPr>
        <w:tc>
          <w:tcPr>
            <w:tcW w:w="860" w:type="dxa"/>
            <w:vAlign w:val="bottom"/>
          </w:tcPr>
          <w:p>
            <w:pPr>
              <w:spacing w:after="0"/>
              <w:rPr>
                <w:sz w:val="21"/>
                <w:szCs w:val="21"/>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Pr>
          <w:p>
            <w:pPr>
              <w:spacing w:after="0"/>
              <w:rPr>
                <w:sz w:val="21"/>
                <w:szCs w:val="21"/>
                <w:color w:val="auto"/>
              </w:rPr>
            </w:pPr>
          </w:p>
        </w:tc>
      </w:tr>
      <w:tr>
        <w:trPr>
          <w:trHeight w:val="236"/>
        </w:trPr>
        <w:tc>
          <w:tcPr>
            <w:tcW w:w="86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4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8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28"/>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62"/>
        </w:trPr>
        <w:tc>
          <w:tcPr>
            <w:tcW w:w="8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-1095375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-1095375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-1095375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-1095375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Cost of sales by customer type for the three-months and six-months ended June 30, 2024 and 2023 were as follows (in thousands):</w:t>
      </w:r>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20"/>
                <w:szCs w:val="20"/>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8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80" w:type="dxa"/>
            <w:vAlign w:val="bottom"/>
            <w:shd w:val="clear" w:color="auto" w:fill="CFF0FC"/>
          </w:tcPr>
          <w:p>
            <w:pPr>
              <w:spacing w:after="0"/>
              <w:rPr>
                <w:sz w:val="21"/>
                <w:szCs w:val="2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cost</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Emergency preparedness service cost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r>
      <w:tr>
        <w:trPr>
          <w:trHeight w:val="27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-24765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-7620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-24765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8" w:lineRule="exact"/>
        <w:rPr>
          <w:sz w:val="20"/>
          <w:szCs w:val="20"/>
          <w:color w:val="auto"/>
        </w:rPr>
      </w:pPr>
    </w:p>
    <w:p>
      <w:pPr>
        <w:ind w:right="100" w:firstLine="749"/>
        <w:spacing w:after="0" w:line="276" w:lineRule="auto"/>
        <w:rPr>
          <w:sz w:val="20"/>
          <w:szCs w:val="20"/>
          <w:color w:val="auto"/>
        </w:rPr>
      </w:pPr>
      <w:r>
        <w:rPr>
          <w:rFonts w:ascii="Times New Roman" w:cs="Times New Roman" w:eastAsia="Times New Roman" w:hAnsi="Times New Roman"/>
          <w:sz w:val="17"/>
          <w:szCs w:val="17"/>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2024 and December 31, 2023, the Company did not have any outstanding or threatened litigation that would have a material impact on the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 with Stedical</w:t>
      </w:r>
    </w:p>
    <w:p>
      <w:pPr>
        <w:spacing w:after="0" w:line="229"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The Company is subject to minimum purchase of PermeaDerm product for the initial term of five years. For 2024, the Company has an obligation to purchase a minimum of $5.0 million of inventory from Stedical. For the three and six-months ended June 30, 2024, the Company has purchased $2.6 million in inventory with another $2.4 million of inventory remaining to be purchased. This obligation is not recorded in the Company's Consolidated Balance Sheets. For the first three years of the agreement, the minimum purchase should increase annually by an amount equal to the percentage growth in the Company's annual US based revenues excluding PermeaDerm revenue, or a minimum increase of at least 20% over the prior year purchase commitment. After the third year, the minimum purchase obligation shall increase annually by an amount equal to the percentage growth of the Company's annual U.S.-based revenues excluding PermeaDerm sales. The minimum purchase obligation should never decrease from the previous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and Preferred Stock</w:t>
      </w:r>
    </w:p>
    <w:p>
      <w:pPr>
        <w:spacing w:after="0" w:line="229"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The Company’s CHESS Depositary Interests (“CDIs”) are quoted on the ASX under the ticker code, “AVH.” The Company’s shares of Common Stock are quoted on the Nasdaq Capital Market (“Nasdaq”) under the ticker code, “RCEL”. One share of Common Stock on Nasdaq is equivalent to five CDIs on the ASX.</w:t>
      </w:r>
    </w:p>
    <w:p>
      <w:pPr>
        <w:spacing w:after="0" w:line="204"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2024, and December 31, 2023, 25,949,906 and 25,682,078 shares of Common Stock, respectively, were issued and outstanding and no shares of preferred stock were outstanding during any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Payment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Expenses</w:t>
      </w:r>
    </w:p>
    <w:p>
      <w:pPr>
        <w:spacing w:after="0" w:line="229" w:lineRule="exact"/>
        <w:rPr>
          <w:sz w:val="20"/>
          <w:szCs w:val="20"/>
          <w:color w:val="auto"/>
        </w:rPr>
      </w:pPr>
    </w:p>
    <w:p>
      <w:pPr>
        <w:ind w:right="260" w:firstLine="749"/>
        <w:spacing w:after="0" w:line="260" w:lineRule="auto"/>
        <w:rPr>
          <w:sz w:val="20"/>
          <w:szCs w:val="20"/>
          <w:color w:val="auto"/>
        </w:rPr>
      </w:pPr>
      <w:r>
        <w:rPr>
          <w:rFonts w:ascii="Times New Roman" w:cs="Times New Roman" w:eastAsia="Times New Roman" w:hAnsi="Times New Roman"/>
          <w:sz w:val="18"/>
          <w:szCs w:val="18"/>
          <w:color w:val="auto"/>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Accounting for Share-Based Payment.</w:t>
      </w:r>
      <w:r>
        <w:rPr>
          <w:rFonts w:ascii="Times New Roman" w:cs="Times New Roman" w:eastAsia="Times New Roman" w:hAnsi="Times New Roman"/>
          <w:sz w:val="18"/>
          <w:szCs w:val="18"/>
          <w:color w:val="auto"/>
        </w:rPr>
        <w:t xml:space="preserve"> No income tax benefit was recognized in the Consolidated Statements of Operations for stock-based payment arrangements for the three-months and six-months ended June 30, 2024 and 2023.</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1" w:right="379" w:bottom="1440" w:gutter="0" w:footer="0" w:header="0"/>
        </w:sectPr>
      </w:pPr>
    </w:p>
    <w:bookmarkStart w:id="25" w:name="page26"/>
    <w:bookmarkEnd w:id="25"/>
    <w:p>
      <w:pPr>
        <w:ind w:right="820" w:firstLine="749"/>
        <w:spacing w:after="0" w:line="281" w:lineRule="auto"/>
        <w:rPr>
          <w:sz w:val="20"/>
          <w:szCs w:val="20"/>
          <w:color w:val="auto"/>
        </w:rPr>
      </w:pPr>
      <w:r>
        <w:rPr>
          <w:rFonts w:ascii="Times New Roman" w:cs="Times New Roman" w:eastAsia="Times New Roman" w:hAnsi="Times New Roman"/>
          <w:sz w:val="18"/>
          <w:szCs w:val="18"/>
          <w:color w:val="auto"/>
        </w:rPr>
        <w:t>The Company has included stock-based compensation expense for all equity awards and the ESPP as part of operating expenses in the accompanying Consolidated Statements of Operations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40" w:type="dxa"/>
            <w:vAlign w:val="bottom"/>
            <w:gridSpan w:val="9"/>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0" w:type="dxa"/>
            <w:vAlign w:val="bottom"/>
          </w:tcPr>
          <w:p>
            <w:pPr>
              <w:spacing w:after="0"/>
              <w:rPr>
                <w:sz w:val="1"/>
                <w:szCs w:val="1"/>
                <w:color w:val="auto"/>
              </w:rPr>
            </w:pPr>
          </w:p>
        </w:tc>
      </w:tr>
      <w:tr>
        <w:trPr>
          <w:trHeight w:val="240"/>
        </w:trPr>
        <w:tc>
          <w:tcPr>
            <w:tcW w:w="38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40" w:type="dxa"/>
            <w:vAlign w:val="bottom"/>
            <w:gridSpan w:val="3"/>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3"/>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60" w:type="dxa"/>
            <w:vAlign w:val="bottom"/>
            <w:gridSpan w:val="2"/>
          </w:tcPr>
          <w:p>
            <w:pPr>
              <w:spacing w:after="0"/>
              <w:rPr>
                <w:sz w:val="20"/>
                <w:szCs w:val="20"/>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gridSpan w:val="2"/>
          </w:tcPr>
          <w:p>
            <w:pPr>
              <w:spacing w:after="0"/>
              <w:rPr>
                <w:sz w:val="20"/>
                <w:szCs w:val="20"/>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2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20" w:type="dxa"/>
            <w:vAlign w:val="bottom"/>
            <w:gridSpan w:val="14"/>
          </w:tcPr>
          <w:p>
            <w:pPr>
              <w:ind w:left="760"/>
              <w:spacing w:after="0"/>
              <w:rPr>
                <w:sz w:val="20"/>
                <w:szCs w:val="20"/>
                <w:color w:val="auto"/>
              </w:rPr>
            </w:pPr>
            <w:r>
              <w:rPr>
                <w:rFonts w:ascii="Times New Roman" w:cs="Times New Roman" w:eastAsia="Times New Roman" w:hAnsi="Times New Roman"/>
                <w:sz w:val="18"/>
                <w:szCs w:val="18"/>
                <w:color w:val="auto"/>
                <w:w w:val="99"/>
              </w:rPr>
              <w:t>A summary of share option activity as of June 30, 2024, and changes during the period ended is presented below:</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Service Only Share Options</w:t>
            </w:r>
          </w:p>
        </w:tc>
        <w:tc>
          <w:tcPr>
            <w:tcW w:w="20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Performance Based</w:t>
            </w:r>
          </w:p>
        </w:tc>
        <w:tc>
          <w:tcPr>
            <w:tcW w:w="60" w:type="dxa"/>
            <w:vAlign w:val="bottom"/>
          </w:tcPr>
          <w:p>
            <w:pPr>
              <w:spacing w:after="0"/>
              <w:rPr>
                <w:sz w:val="24"/>
                <w:szCs w:val="24"/>
                <w:color w:val="auto"/>
              </w:rPr>
            </w:pPr>
          </w:p>
        </w:tc>
        <w:tc>
          <w:tcPr>
            <w:tcW w:w="22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 Share Options</w:t>
            </w:r>
          </w:p>
        </w:tc>
        <w:tc>
          <w:tcPr>
            <w:tcW w:w="0" w:type="dxa"/>
            <w:vAlign w:val="bottom"/>
          </w:tcPr>
          <w:p>
            <w:pPr>
              <w:spacing w:after="0"/>
              <w:rPr>
                <w:sz w:val="1"/>
                <w:szCs w:val="1"/>
                <w:color w:val="auto"/>
              </w:rPr>
            </w:pPr>
          </w:p>
        </w:tc>
      </w:tr>
      <w:tr>
        <w:trPr>
          <w:trHeight w:val="130"/>
        </w:trPr>
        <w:tc>
          <w:tcPr>
            <w:tcW w:w="3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5"/>
            <w:vMerge w:val="continue"/>
          </w:tcPr>
          <w:p>
            <w:pPr>
              <w:spacing w:after="0"/>
              <w:rPr>
                <w:sz w:val="11"/>
                <w:szCs w:val="11"/>
                <w:color w:val="auto"/>
              </w:rPr>
            </w:pPr>
          </w:p>
        </w:tc>
        <w:tc>
          <w:tcPr>
            <w:tcW w:w="204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60" w:type="dxa"/>
            <w:vAlign w:val="bottom"/>
          </w:tcPr>
          <w:p>
            <w:pPr>
              <w:spacing w:after="0"/>
              <w:rPr>
                <w:sz w:val="11"/>
                <w:szCs w:val="11"/>
                <w:color w:val="auto"/>
              </w:rPr>
            </w:pPr>
          </w:p>
        </w:tc>
        <w:tc>
          <w:tcPr>
            <w:tcW w:w="2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shares at December 31, 2023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2,397,571</w:t>
            </w:r>
          </w:p>
        </w:tc>
        <w:tc>
          <w:tcPr>
            <w:tcW w:w="120" w:type="dxa"/>
            <w:vAlign w:val="bottom"/>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292,587</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1,549,158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1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(96,928 )</w:t>
            </w: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(20,729 )</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(117,657 )</w:t>
            </w: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(63,868 )</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(49,012 )</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(112,880 )</w:t>
            </w:r>
          </w:p>
        </w:tc>
        <w:tc>
          <w:tcPr>
            <w:tcW w:w="0" w:type="dxa"/>
            <w:vAlign w:val="bottom"/>
          </w:tcPr>
          <w:p>
            <w:pPr>
              <w:spacing w:after="0"/>
              <w:rPr>
                <w:sz w:val="1"/>
                <w:szCs w:val="1"/>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1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(159,918 )</w:t>
            </w: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(5,832 )</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(165,750 )</w:t>
            </w:r>
          </w:p>
        </w:tc>
        <w:tc>
          <w:tcPr>
            <w:tcW w:w="0" w:type="dxa"/>
            <w:vAlign w:val="bottom"/>
          </w:tcPr>
          <w:p>
            <w:pPr>
              <w:spacing w:after="0"/>
              <w:rPr>
                <w:sz w:val="1"/>
                <w:szCs w:val="1"/>
                <w:color w:val="auto"/>
              </w:rPr>
            </w:pPr>
          </w:p>
        </w:tc>
      </w:tr>
      <w:tr>
        <w:trPr>
          <w:trHeight w:val="240"/>
        </w:trPr>
        <w:tc>
          <w:tcPr>
            <w:tcW w:w="3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shares at June 30, 2024</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3,626,015</w:t>
            </w:r>
          </w:p>
        </w:tc>
        <w:tc>
          <w:tcPr>
            <w:tcW w:w="120" w:type="dxa"/>
            <w:vAlign w:val="bottom"/>
            <w:tcBorders>
              <w:top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217,014</w:t>
            </w:r>
          </w:p>
        </w:tc>
        <w:tc>
          <w:tcPr>
            <w:tcW w:w="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1,186,820</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 June 30, 2024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3,626,015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-2194560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-2194560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-2194560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-2194560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-490855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-490855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unvested RSUs as of June 30, 2024, and changes that occurred during the period is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Shares</w:t>
            </w:r>
          </w:p>
        </w:tc>
        <w:tc>
          <w:tcPr>
            <w:tcW w:w="2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Tenure-Based RSUs</w:t>
            </w: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Condition RSUs</w:t>
            </w:r>
          </w:p>
        </w:tc>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 RSUs</w:t>
            </w: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at December 31, 2023</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207,112</w:t>
            </w:r>
          </w:p>
        </w:tc>
        <w:tc>
          <w:tcPr>
            <w:tcW w:w="120" w:type="dxa"/>
            <w:vAlign w:val="bottom"/>
            <w:shd w:val="clear" w:color="auto" w:fill="CFF0FC"/>
          </w:tcPr>
          <w:p>
            <w:pPr>
              <w:spacing w:after="0"/>
              <w:rPr>
                <w:sz w:val="20"/>
                <w:szCs w:val="20"/>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235,132</w:t>
            </w:r>
          </w:p>
        </w:tc>
        <w:tc>
          <w:tcPr>
            <w:tcW w:w="100" w:type="dxa"/>
            <w:vAlign w:val="bottom"/>
            <w:shd w:val="clear" w:color="auto" w:fill="CFF0FC"/>
          </w:tcPr>
          <w:p>
            <w:pPr>
              <w:spacing w:after="0"/>
              <w:rPr>
                <w:sz w:val="20"/>
                <w:szCs w:val="20"/>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(52,166 )</w:t>
            </w:r>
          </w:p>
        </w:tc>
        <w:tc>
          <w:tcPr>
            <w:tcW w:w="2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(1,752 )</w:t>
            </w: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(53,918 )</w:t>
            </w: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(18,600 )</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(3,504 )</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(22,104 )</w:t>
            </w:r>
          </w:p>
        </w:tc>
      </w:tr>
      <w:tr>
        <w:trPr>
          <w:trHeight w:val="28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at June 30, 2024</w:t>
            </w: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191,546</w:t>
            </w:r>
          </w:p>
        </w:tc>
        <w:tc>
          <w:tcPr>
            <w:tcW w:w="12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10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-24765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In June 2023, the stockholders approved the ESPP, which became effective on July 1, 2023. On June 30, 2023, the Company filed a Registration Statement on Form S-8 to register 1,000,000 shares of Common Stock under the ESPP, as a result of the Company’s stockholders approving the ESPP at the 2023 Annual Meeting. The ESPP features two six-month offering periods per year, running from June 1 to November 30 and December 1 to May 31.</w:t>
      </w:r>
    </w:p>
    <w:p>
      <w:pPr>
        <w:spacing w:after="0" w:line="177"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During the three and six-months ended June 30, 2024, the Company recorded $233,000 and $418,000, in ESPP expense, respectively. During the three-months and six-months ended June 30, 2023, the Company did not have any ESPP expense. The Company had $135,000 and $122,000 in accrued payroll contributions as of June 30, 2024 and December 31, 2023, respectively. As of June 30, 2024, the Company had 831,428 shares remaining to be issued under the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5"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Tax expense for the three-months ended June 30, 2024 and 2023 was $33,000 and $13,000, respectively. Tax expense for the six-months ended June 30, 2024 and 2023 was $63,000 and $43,000, respectively. These amounts are related to state minimum taxes.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60" w:type="dxa"/>
            <w:vAlign w:val="bottom"/>
            <w:gridSpan w:val="10"/>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3380" w:type="dxa"/>
            <w:vAlign w:val="bottom"/>
            <w:gridSpan w:val="7"/>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23"/>
        </w:trPr>
        <w:tc>
          <w:tcPr>
            <w:tcW w:w="3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5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(15,393 ) $</w:t>
            </w:r>
          </w:p>
        </w:tc>
        <w:tc>
          <w:tcPr>
            <w:tcW w:w="180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(10,384 ) $</w:t>
            </w:r>
          </w:p>
        </w:tc>
        <w:tc>
          <w:tcPr>
            <w:tcW w:w="180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(34,051 )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(19,604 )</w:t>
            </w:r>
          </w:p>
        </w:tc>
      </w:tr>
      <w:tr>
        <w:trPr>
          <w:trHeight w:val="21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25,760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100" w:type="dxa"/>
            <w:vAlign w:val="bottom"/>
          </w:tcPr>
          <w:p>
            <w:pPr>
              <w:spacing w:after="0"/>
              <w:rPr>
                <w:sz w:val="20"/>
                <w:szCs w:val="20"/>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(0.60 ) $</w:t>
            </w:r>
          </w:p>
        </w:tc>
        <w:tc>
          <w:tcPr>
            <w:tcW w:w="180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(0.41 ) $</w:t>
            </w:r>
          </w:p>
        </w:tc>
        <w:tc>
          <w:tcPr>
            <w:tcW w:w="180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(1.32 )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452"/>
        </w:trPr>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10"/>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338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40"/>
        </w:trPr>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gridSpan w:val="2"/>
          </w:tcPr>
          <w:p>
            <w:pPr>
              <w:spacing w:after="0"/>
              <w:rPr>
                <w:sz w:val="20"/>
                <w:szCs w:val="20"/>
                <w:color w:val="auto"/>
              </w:rPr>
            </w:pPr>
          </w:p>
        </w:tc>
        <w:tc>
          <w:tcPr>
            <w:tcW w:w="240" w:type="dxa"/>
            <w:vAlign w:val="bottom"/>
            <w:tcBorders>
              <w:top w:val="single" w:sz="8" w:color="auto"/>
            </w:tcBorders>
            <w:gridSpan w:val="2"/>
          </w:tcPr>
          <w:p>
            <w:pPr>
              <w:spacing w:after="0"/>
              <w:rPr>
                <w:sz w:val="20"/>
                <w:szCs w:val="20"/>
                <w:color w:val="auto"/>
              </w:rPr>
            </w:pPr>
          </w:p>
        </w:tc>
        <w:tc>
          <w:tcPr>
            <w:tcW w:w="1800" w:type="dxa"/>
            <w:vAlign w:val="bottom"/>
            <w:tcBorders>
              <w:top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r>
      <w:tr>
        <w:trPr>
          <w:trHeight w:val="20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Anti-dilutive shares excluded from diluted net loss per</w:t>
            </w: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2,675,458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2,675,458</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371,368</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378,541</w:t>
            </w:r>
          </w:p>
        </w:tc>
        <w:tc>
          <w:tcPr>
            <w:tcW w:w="100" w:type="dxa"/>
            <w:vAlign w:val="bottom"/>
            <w:shd w:val="clear" w:color="auto" w:fill="CFF0FC"/>
          </w:tcPr>
          <w:p>
            <w:pPr>
              <w:spacing w:after="0"/>
              <w:rPr>
                <w:sz w:val="21"/>
                <w:szCs w:val="2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Company’s basic net loss per share is calculated by dividing the net loss by the weighted-average number of shares of common stock outstanding for the relevant period. In accordance with </w:t>
      </w:r>
      <w:r>
        <w:rPr>
          <w:rFonts w:ascii="Times New Roman" w:cs="Times New Roman" w:eastAsia="Times New Roman" w:hAnsi="Times New Roman"/>
          <w:sz w:val="18"/>
          <w:szCs w:val="18"/>
          <w:i w:val="1"/>
          <w:iCs w:val="1"/>
          <w:color w:val="auto"/>
        </w:rPr>
        <w:t>ASC 710-10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93,845 shares of Common Stock held by the rabbi trust are excluded from the denominator in the basic and diluted net loss per common share calculations. For details on shares of common stock held by the rabbi trust refer to Note 18 of our Consolidated Financial Statements.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three-months and six-months ended June 30, 2024 and 2023, diluted net loss per common share is the same as the basic net loss per share for those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Plans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offers a 401(k) 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up to the maximum allowable. The Company's total matching contributions to the 401(k) Plan were $518,000 and $249,000 for the three-months ended June 30, 2024 and 2023, respectively, and $1.4 million and $671,000 for the six-months ended June 30,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Company’s NQDC plan, which became effective in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were $33,000 and $39,000 for the three-months ended June 30, 2024 and 2023, respectively and $67,000 and $80,000 for the six-months ended June 30, 2024 and 2023, respectively. The Company’s deferred compensation plan liability was $3.9 million and $3.8 million as of June 30, 2024 and December 31, 2023, respectively. These liabilities are split between current and long term on the Consolidated Balance Sheets. As of June 30, 2024, $753,000 is included in Current non-qualified deferred compensation liability and $3.1 million in the long term non-qualified deferred compensation liability. As of December 31, 2023, $168,000 is included in Current non-qualified deferred compensation liability and $3.7 million in the long-term non-qualified deferred compensation liability. During the three-months ended June 30, 2024, the Company did not have distributions from the deferred compensation liability. For the six-months ended June 30, 2024, the Company had distributions of approximately $215,000 in the deferred compensation liability for terminated employees.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During the three-months and six-months ended June 30, 2023, the Company had a distribution of approximately $82,000 for a terminated employee.</w:t>
      </w:r>
    </w:p>
    <w:p>
      <w:pPr>
        <w:spacing w:after="0" w:line="225"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The Company established a COLI to fund the NQDC Plan. Amounts in the COLI are invested across a number of funds. The securities are carried at the cash surrender value on the Consolidated Balance Sheets. The Company records investment gains and losses of the COLI as Other income net. Refer to Note 4 of our Consolidated Financial Statements for the fair values of the COLI policies and the NQDC liability.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Rabbi Trust</w:t>
      </w:r>
    </w:p>
    <w:p>
      <w:pPr>
        <w:spacing w:after="0" w:line="21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During April 2022, the Company established a rabbi trust to hold the assets of the NQDC Plan. The rabbi trust holds the COLI asset and the Common stock from deferred RSU awards that have vested. The NQDC Plan permits diversification of fully vested shares into other equity securities subject to a six-month and one day holding period. In accordance with </w:t>
      </w:r>
      <w:r>
        <w:rPr>
          <w:rFonts w:ascii="Times New Roman" w:cs="Times New Roman" w:eastAsia="Times New Roman" w:hAnsi="Times New Roman"/>
          <w:sz w:val="18"/>
          <w:szCs w:val="18"/>
          <w:i w:val="1"/>
          <w:iCs w:val="1"/>
          <w:color w:val="auto"/>
        </w:rPr>
        <w:t>ASR 268, Redeemable Preferred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ASC 718, 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prior to vesting, the deferred share awards are classified as an equity instrument and changes in fair value of the amount owed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are not recognized. The redemption amounts of the deferred awards are based on the vested percentage and are recorded outside of permanent equity as Non-qualified deferred compensation share awards on the Consolidated Balance Sheets. As of June 30, 2024 and December 31, 2023, a total of 101,526 and 81,052, shares awards have been deferred, respectively. Vested shares are converted to Common stock and are reclassified to permanent equity. Common stock held in the rabbi trust is classified in a manner similar to treasury stock and presented separately on the Consolidated Balance Sheets as Common stock held by the NQDC Plan. As of June 30, 2024 and December 31, 2023 a total of 93,845 and 99,106 shares were held in the rabbi trust at the redemption value of $1.0 million and $1.1 million, respectively.</w:t>
      </w:r>
    </w:p>
    <w:p>
      <w:pPr>
        <w:spacing w:after="0" w:line="191"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Non-qualified deferred compensation plan share award activity as of June 30, 2024 and December 31, 2023 (in thousands):</w:t>
      </w:r>
    </w:p>
    <w:p>
      <w:pPr>
        <w:sectPr>
          <w:pgSz w:w="11900" w:h="16838" w:orient="portrait"/>
          <w:cols w:equalWidth="0" w:num="1">
            <w:col w:w="11240"/>
          </w:cols>
          <w:pgMar w:left="320" w:top="101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Non-qualified deferred compensation share awards: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in redemption value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Vesting of share awards held by NDQC</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1"/>
                <w:szCs w:val="21"/>
                <w:color w:val="auto"/>
              </w:rPr>
            </w:pPr>
          </w:p>
        </w:tc>
      </w:tr>
      <w:tr>
        <w:trPr>
          <w:trHeight w:val="468"/>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tcPr>
          <w:p>
            <w:pPr>
              <w:spacing w:after="0"/>
              <w:rPr>
                <w:sz w:val="24"/>
                <w:szCs w:val="24"/>
                <w:color w:val="auto"/>
              </w:rPr>
            </w:pPr>
          </w:p>
        </w:tc>
      </w:tr>
      <w:tr>
        <w:trPr>
          <w:trHeight w:val="243"/>
        </w:trPr>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(272 )</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240" w:type="dxa"/>
            <w:vAlign w:val="bottom"/>
          </w:tcPr>
          <w:p>
            <w:pPr>
              <w:spacing w:after="0"/>
              <w:rPr>
                <w:sz w:val="21"/>
                <w:szCs w:val="21"/>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(1,401 )</w:t>
            </w:r>
          </w:p>
        </w:tc>
      </w:tr>
      <w:tr>
        <w:trPr>
          <w:trHeight w:val="238"/>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-958215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-650240</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-341630</wp:posOffset>
            </wp:positionV>
            <wp:extent cx="713232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1011" w:right="339"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55"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spacing w:after="0" w:line="16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July 31, 2024, the Company entered into a multi-year exclusive development and distribution agreement with Collagen Matrix, Inc. dba Regenity Biosciences to market, sell, and distribute a collagen-based dermal scaffold under our private label in the U.S., with the potential to commercialize the product in countries in the European Union, as well as in Japan and Australia. The initial term of the agreement is five years, with an automatic extension of an additional five years, contingent upon meeting certain criteria. Under the terms of the agreement, the Company will make a $2.0 million payment upon receipt of 510(k) clearance by Regenity. The Company has a further obligation to make up to an additional $3.0 million payment on or before January 4, 2026 to guarantee manufacturing capacity, contingent on positive results of the clinical studies related to the new dermal scaffold.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4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5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86" w:lineRule="exact"/>
        <w:rPr>
          <w:sz w:val="20"/>
          <w:szCs w:val="20"/>
          <w:color w:val="auto"/>
        </w:rPr>
      </w:pPr>
    </w:p>
    <w:p>
      <w:pPr>
        <w:ind w:right="36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5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Please see “Special Statement Regarding Forward-Looking Statements” on page 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29" w:lineRule="auto"/>
        <w:rPr>
          <w:sz w:val="20"/>
          <w:szCs w:val="20"/>
          <w:color w:val="auto"/>
        </w:rPr>
      </w:pPr>
      <w:r>
        <w:rPr>
          <w:rFonts w:ascii="Times New Roman" w:cs="Times New Roman" w:eastAsia="Times New Roman" w:hAnsi="Times New Roman"/>
          <w:sz w:val="18"/>
          <w:szCs w:val="18"/>
          <w:color w:val="auto"/>
        </w:rPr>
        <w:t>AVITA Medical, Inc. ("we", "our", "us") is a commercial-stage regenerative medicine company transforming the standard of care in wound care management and skin restoration with innovative devices. At the forefront of our portfolio is our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(“RECELL System” or “RECELL”), approved by the U.S. Food &amp; Drug Administration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 of care. This breakthrough technology serves as the catalyst for a new treatment paradigm enabling improved clinical outcomes. As of this January, we also hold the right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 under the terms of an exclusive multi-year distribution agreement with Stedical Scientific, Inc. ("Stedical").</w:t>
      </w:r>
    </w:p>
    <w:p>
      <w:pPr>
        <w:spacing w:after="0" w:line="205"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FDA for the treatment of thermal burn wounds and full-thickness skin defects, and repigmentation of stable depigmented vitiligo lesions. Our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the RECELL GO Processing Device ("RPD") and the RECELL GO Preparation Kit ("RPK"). The RPD is a multi-use, AC-powered device that controls the RPK. The RPK is a single-use cartridge that contains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RPD regulates the pressure applied to disaggregate the cells and precisely controls the incubation time of the RECELL Enzyme to optimize cell yield and promote cell viability.</w:t>
      </w:r>
    </w:p>
    <w:p>
      <w:pPr>
        <w:spacing w:after="0" w:line="199"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We are focused on becoming the leading provider of regenerative medicine addressing unmet medical needs in burn injuries, full-thickness skin defects, and in-skin repigmentation, such as vitiligo. We will continue to drive commercial revenue growth to generate positive cash flow and achieve operating profit. To achieve these objectives, we intend to:</w:t>
      </w:r>
    </w:p>
    <w:p>
      <w:pPr>
        <w:spacing w:after="0" w:line="285" w:lineRule="exact"/>
        <w:rPr>
          <w:sz w:val="20"/>
          <w:szCs w:val="20"/>
          <w:color w:val="auto"/>
        </w:rPr>
      </w:pPr>
    </w:p>
    <w:p>
      <w:pPr>
        <w:ind w:left="1020" w:right="40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standard of care in the U.S. burn care market by increasing penetration and adoption in burn centers with our recently FDA-approved RECELL GO</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adoption of RECELL technology for the treatment of full-thickness skin defects in the U.S. with RECELL GO</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RECELL GO mini, which is designed to address smaller wounds, following FDA approval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presence within the European Union and Australia through the exclusive use of third-party distributors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9" w:name="page30"/>
    <w:bookmarkEnd w:id="29"/>
    <w:p>
      <w:pPr>
        <w:ind w:left="1020" w:right="20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commercial activities in Japan through our partnership with COSMOTEC Company, Ltd ("COSMOTEC") by leveraging our current Pharmaceuticals and Medical Devices Act (“PMDA”) approval for RECELL with an indication in burns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business development opportunities that are complementary to our core RECELL technology and/or our targeted markets, such as our exclusive distribution agreement with Stedical Scientific, Inc.</w:t>
      </w:r>
    </w:p>
    <w:p>
      <w:pPr>
        <w:spacing w:after="0" w:line="54"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six-month data and manuscript from the post-market study, TONE, and the health care economics study, both related to our vitiligo initiative by the end of the fourth quarter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Current Trends</w:t>
      </w:r>
    </w:p>
    <w:p>
      <w:pPr>
        <w:spacing w:after="0" w:line="229"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The macroeconomic environment may have unexpected adverse effects on businesses and healthcare institutions globally that may continue to negatively impact our consolidated operating results. There remains significant uncertainty in the current macroeconomic environment due to factors including supply chain shortages, increased cost of healthcare, changes to inflation rates, a competitive and tight labor market, and other related global economic conditions and geopolitical conditions. If these conditions continue or worsen, they could adversely impact our future operating results.</w:t>
      </w:r>
    </w:p>
    <w:p>
      <w:pPr>
        <w:spacing w:after="0" w:line="182"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in the Middle East, the continuation of the military conflicts in these regions and/or an escalation of the conflicts beyond their current scope may further weaken the global economy that could result in additional inflationary pressures or supply chain constraints.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January 10, 2024, we entered into an exclusive multi-year distribution agreement with Stedical Scientific, Inc. (“Stedical”) to commercialize PermeaDerm® Biosynthetic Wound Matrix in the United States ("PermeaDerm"). PermeaDerm is cleared by the FDA as a transparent matrix for use in the treatment of a variety of wound types until healing is achieved. Under the terms of the agreement, we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182"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On January 31, 2024 we entered into an exclusive distribution agreement with Fidelis Sustainability Distribution, LLC ("Fidelis"). As part of the agreement, the Company appointed Fidelis as the exclusive distributor of RECELL products in the U.S. government healthcare facilities such as the facilities operated by Veteran Affairs and the Department of Defense.</w:t>
      </w:r>
    </w:p>
    <w:p>
      <w:pPr>
        <w:spacing w:after="0" w:line="17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February 16, 2024, we amended our contract with BARDA (dated September 29, 2015), to extend the term through September 28, 2025. Under the modified contract, BARDA will have access to our RECELL inventory in the event of a national emergency. In the case of a national emergency, BARDA will pay for RECELL devices at a reduced price for the first 1,000 units and will then pay retail price for any additional units. No additional inventory build will be required as part of this modification as we have sufficient inventory in stock to fulfill this requirement. BARDA will pay us approximately $333,000 in maintenance fees over the term of the contract to ensure its first right of access to our RECELL inventory.</w:t>
      </w:r>
    </w:p>
    <w:p>
      <w:pPr>
        <w:spacing w:after="0" w:line="182"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On May 29, 2024, the FDA approved our premarket approval ("PMA") supplement for RECELL GO, our next generation autologous cell harvesting device, to treat thermal burn wounds and full-thickness skin defects. Following this approval, we shipped the first RECELL GO order on May 30, 2024, to accommodate the first case for its use on May 31, 2024.</w:t>
      </w:r>
    </w:p>
    <w:p>
      <w:pPr>
        <w:spacing w:after="0" w:line="184"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18"/>
          <w:szCs w:val="18"/>
          <w:color w:val="auto"/>
        </w:rPr>
        <w:t>On June 28, 2024, we submitted a PMA supplement for RECELL GO mini, which is designed to address small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This version retains the same multi-use processing units as RECELL GO but features a smaller cartridge designed for the smaller donor skin samples needed for smaller wounds. This submission maintains the FDA Breakthrough Device designation from predecessor devices, providing a prioritized 180-day review period.</w:t>
      </w:r>
    </w:p>
    <w:p>
      <w:pPr>
        <w:spacing w:after="0" w:line="200" w:lineRule="exact"/>
        <w:rPr>
          <w:sz w:val="20"/>
          <w:szCs w:val="20"/>
          <w:color w:val="auto"/>
        </w:rPr>
      </w:pPr>
    </w:p>
    <w:p>
      <w:pPr>
        <w:jc w:val="both"/>
        <w:ind w:right="420" w:firstLine="749"/>
        <w:spacing w:after="0" w:line="265" w:lineRule="auto"/>
        <w:rPr>
          <w:sz w:val="20"/>
          <w:szCs w:val="20"/>
          <w:color w:val="auto"/>
        </w:rPr>
      </w:pPr>
      <w:r>
        <w:rPr>
          <w:rFonts w:ascii="Times New Roman" w:cs="Times New Roman" w:eastAsia="Times New Roman" w:hAnsi="Times New Roman"/>
          <w:sz w:val="18"/>
          <w:szCs w:val="18"/>
          <w:color w:val="auto"/>
        </w:rPr>
        <w:t>On July 31, 2024, we entered into a multi-year exclusive development and distribution agreement with Collagen Matrix, Inc. dba Regenity Biosciences to market, sell, and distribute a collagen-based dermal scaffold under our private label in the U.S., with the potential to commercialize the product in countries in the European Union, as well as in Japan and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three-months ended June 30, 2024 compared to the three-months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4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30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revenue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30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3,430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51"/>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300" w:type="dxa"/>
            <w:vAlign w:val="bottom"/>
          </w:tcPr>
          <w:p>
            <w:pPr>
              <w:spacing w:after="0"/>
              <w:rPr>
                <w:sz w:val="19"/>
                <w:szCs w:val="19"/>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3,442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5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(2,111 )</w:t>
            </w:r>
          </w:p>
        </w:tc>
        <w:tc>
          <w:tcPr>
            <w:tcW w:w="2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(2,204 )</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30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3,535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(16,302 )</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(6,299 )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(7,519 )</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(6,165 )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(1,354 )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5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2"/>
                <w:szCs w:val="22"/>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(4,887 )</w:t>
            </w:r>
          </w:p>
        </w:tc>
        <w:tc>
          <w:tcPr>
            <w:tcW w:w="22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(5,076 )</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(28,708 )</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(21,244 )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(7,464 )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(4,459 )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line="20" w:lineRule="exact"/>
              <w:rPr>
                <w:sz w:val="1"/>
                <w:szCs w:val="1"/>
                <w:color w:val="auto"/>
              </w:rPr>
            </w:pPr>
          </w:p>
        </w:tc>
      </w:tr>
      <w:tr>
        <w:trPr>
          <w:trHeight w:val="228"/>
        </w:trPr>
        <w:tc>
          <w:tcPr>
            <w:tcW w:w="4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(15,624 )</w:t>
            </w:r>
          </w:p>
        </w:tc>
        <w:tc>
          <w:tcPr>
            <w:tcW w:w="2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(11,165 )</w:t>
            </w:r>
          </w:p>
        </w:tc>
        <w:tc>
          <w:tcPr>
            <w:tcW w:w="13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(1,347 )</w:t>
            </w:r>
          </w:p>
        </w:tc>
        <w:tc>
          <w:tcPr>
            <w:tcW w:w="2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1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(1,340 )</w:t>
            </w:r>
          </w:p>
        </w:tc>
        <w:tc>
          <w:tcPr>
            <w:tcW w:w="11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(15,360 )</w:t>
            </w:r>
          </w:p>
        </w:tc>
        <w:tc>
          <w:tcPr>
            <w:tcW w:w="2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(10,371 )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(4,989 )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5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(15,393 ) $</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(10,384 )</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-2842260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-2525395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-2208530</wp:posOffset>
            </wp:positionV>
            <wp:extent cx="713232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360" w:firstLine="749"/>
        <w:spacing w:after="0" w:line="260" w:lineRule="auto"/>
        <w:rPr>
          <w:sz w:val="20"/>
          <w:szCs w:val="20"/>
          <w:color w:val="auto"/>
        </w:rPr>
      </w:pPr>
      <w:r>
        <w:rPr>
          <w:rFonts w:ascii="Times New Roman" w:cs="Times New Roman" w:eastAsia="Times New Roman" w:hAnsi="Times New Roman"/>
          <w:sz w:val="18"/>
          <w:szCs w:val="18"/>
          <w:color w:val="auto"/>
        </w:rPr>
        <w:t>Total revenues increased by 29.3%, or $3.4 million, to $15.2 million, compared to $11.8 million in the same period in the prior year. Our commercial revenue was $15.1 million in the three-months ended June 30, 2024, an increase of $3.4 million, or 29.5%, compared to $11.7 million in the corresponding period in the prior year. The growth in commercial revenues was largely driven by deeper penetration within customer accounts and new accounts for full-thickness skin defects.</w:t>
      </w:r>
    </w:p>
    <w:p>
      <w:pPr>
        <w:spacing w:after="0" w:line="182"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Gross profit margin was 86.2% compared to 81.2% in the corresponding period in the prior year. This was largely driven by increases in both revenues and the volume of production.</w:t>
      </w:r>
    </w:p>
    <w:p>
      <w:pPr>
        <w:spacing w:after="0" w:line="163"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BARDA income decreased to zero, compared to $0.5 million in the corresponding period in the prior year due to ending of reimbursable clinical trials. BARDA income in the prior year consisted of funding from the Biomedical Advanced Research and Development Authority, under the Assistant Secretary for Preparedness and Response, within the U.S. Department of Health and Human Services, under ongoing USG Contract No. HHSO100201500028C.</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 increased by 35.1% or $7.5 million to $28.7 million, compared with $21.2 million in the corresponding period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206"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63.0%, or $6.3 million, to $16.3 million, compared to $10.0 million in the corresponding period in the prior year. Higher costs in the current year are due to an increase in salaries and benefits of approximately $2.7 million, commissions expense of $2.1 million, and stock-based compensation expense of $1.2 million, plus $0.3 million in other selling expenses. The increase in salaries and benefits is due to the expansion of the sales force to support our growing commercial capabilities. Higher commissions were directly associated with the increase in revenues. The increase stock-based compensation is due to additional grants related to the expansion of the sales force.</w:t>
      </w:r>
    </w:p>
    <w:p>
      <w:pPr>
        <w:spacing w:after="0" w:line="182"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22.0%, or $1.4 million, to $7.5 million, compared to $6.2 million in the same period in the prior year. The increase was attributable to an increase in stock-based compensation of $1.2 million, an increase in severance benefits of $0.8 million, and an increase in salaries and benefits of $0.3 million, this increase was partially offset by lower deferred compensation expenses of $0.8 million and lower professional fees of $0.1 million. The increase in stock-based compensation and salaries and benefits are primarily attributable to headcount growth to support the expansion of our business. The increased severance payments of $0.8 million is due to termination payments for a former executive. The decrease in deferred compensation expense of $0.8 million is driven by lower stock price used to calculate the deferred compensation liability for the deferred restricted stock awards. The decrease in professional fees of $0.1 million is primarily due to the decrease in proxy related fees and lower legal fees incurred than what were incurred in the prior year.</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07" w:right="239" w:bottom="1440" w:gutter="0" w:footer="0" w:header="0"/>
        </w:sectPr>
      </w:pPr>
    </w:p>
    <w:bookmarkStart w:id="31" w:name="page32"/>
    <w:bookmarkEnd w:id="31"/>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3.7%, or $0.2 million, to $4.9 million, compared to $5.1 million in the same period in the prior year. The decrease in professional fees and development expenses of approximately $1.4 million is due to higher expenses in the prior period related to RECELL GO and full-thickness skin defects offset by an increase in salaries and benefits of approximately $1.0 million and stock-based compensation of approximately $0.2 million, due to the increase in headcount resulting from the deployment of a team of Medical Science Liaisons.</w:t>
      </w:r>
    </w:p>
    <w:p>
      <w:pPr>
        <w:spacing w:after="0" w:line="182"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Interest expense increased approximately $1.3 million in comparison to the same period in the prior year due to the interest expense related to the long-term debt as part of the OrbiMed Credit Agreement, for an aggregate principal amount owed of $40.0 million.</w:t>
      </w:r>
    </w:p>
    <w:p>
      <w:pPr>
        <w:spacing w:after="0" w:line="163"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Other income, net increased by $0.8 million or 101.1% to income of $1.6 million from $0.8 million in the prior period. In the current period, other income consists of income of $2.1 million related to the change in fair value of warrant liability, and $0.7 million in income related to our investments. Income was offset by a non-cash charge of $1.2 million due to the change in fair value of the debt. The prior period income consisted of $0.7 million related to our investments and $0.1 million in gains,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six-months ended June 30, 2024 compared to the six-months ended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gridSpan w:val="5"/>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Six-Months Ended</w:t>
            </w: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32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28"/>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revenue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32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3,984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51"/>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revenue</w:t>
            </w: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32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3,996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5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(3,624 )</w:t>
            </w:r>
          </w:p>
        </w:tc>
        <w:tc>
          <w:tcPr>
            <w:tcW w:w="24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(3,871 )</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3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4,243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BARDA income</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(28,942 )</w:t>
            </w:r>
          </w:p>
        </w:tc>
        <w:tc>
          <w:tcPr>
            <w:tcW w:w="2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(16,543 )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(12,399 )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(16,481 )</w:t>
            </w:r>
          </w:p>
        </w:tc>
        <w:tc>
          <w:tcPr>
            <w:tcW w:w="2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(14,460 )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5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2"/>
                <w:szCs w:val="22"/>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(10,081 )</w:t>
            </w:r>
          </w:p>
        </w:tc>
        <w:tc>
          <w:tcPr>
            <w:tcW w:w="240" w:type="dxa"/>
            <w:vAlign w:val="bottom"/>
          </w:tcPr>
          <w:p>
            <w:pPr>
              <w:spacing w:after="0"/>
              <w:rPr>
                <w:sz w:val="22"/>
                <w:szCs w:val="22"/>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(9,662 )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(55,504 )</w:t>
            </w:r>
          </w:p>
        </w:tc>
        <w:tc>
          <w:tcPr>
            <w:tcW w:w="2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(40,665 )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(14,839 )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(11,753 )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line="20" w:lineRule="exact"/>
              <w:rPr>
                <w:sz w:val="1"/>
                <w:szCs w:val="1"/>
                <w:color w:val="auto"/>
              </w:rPr>
            </w:pPr>
          </w:p>
        </w:tc>
      </w:tr>
      <w:tr>
        <w:trPr>
          <w:trHeight w:val="228"/>
        </w:trPr>
        <w:tc>
          <w:tcPr>
            <w:tcW w:w="4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(32,829 )</w:t>
            </w:r>
          </w:p>
        </w:tc>
        <w:tc>
          <w:tcPr>
            <w:tcW w:w="24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(21,076 )</w:t>
            </w:r>
          </w:p>
        </w:tc>
        <w:tc>
          <w:tcPr>
            <w:tcW w:w="13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(2,703 )</w:t>
            </w:r>
          </w:p>
        </w:tc>
        <w:tc>
          <w:tcPr>
            <w:tcW w:w="2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(11 )</w:t>
            </w:r>
          </w:p>
        </w:tc>
        <w:tc>
          <w:tcPr>
            <w:tcW w:w="1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(2,692 )</w:t>
            </w:r>
          </w:p>
        </w:tc>
        <w:tc>
          <w:tcPr>
            <w:tcW w:w="11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20" w:type="dxa"/>
            <w:vAlign w:val="bottom"/>
          </w:tcPr>
          <w:p>
            <w:pPr>
              <w:spacing w:after="0"/>
              <w:rPr>
                <w:sz w:val="21"/>
                <w:szCs w:val="21"/>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(33,988 )</w:t>
            </w:r>
          </w:p>
        </w:tc>
        <w:tc>
          <w:tcPr>
            <w:tcW w:w="24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(19,561 )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(14,427 )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0" w:type="dxa"/>
            <w:vAlign w:val="bottom"/>
          </w:tcPr>
          <w:p>
            <w:pPr>
              <w:spacing w:after="0"/>
              <w:rPr>
                <w:sz w:val="1"/>
                <w:szCs w:val="1"/>
                <w:color w:val="auto"/>
              </w:rPr>
            </w:pPr>
          </w:p>
        </w:tc>
      </w:tr>
      <w:tr>
        <w:trPr>
          <w:trHeight w:val="251"/>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(34,051 ) $</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(19,604 )</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(14,447 )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420" w:firstLine="749"/>
        <w:spacing w:after="0" w:line="260" w:lineRule="auto"/>
        <w:rPr>
          <w:sz w:val="20"/>
          <w:szCs w:val="20"/>
          <w:color w:val="auto"/>
        </w:rPr>
      </w:pPr>
      <w:r>
        <w:rPr>
          <w:rFonts w:ascii="Times New Roman" w:cs="Times New Roman" w:eastAsia="Times New Roman" w:hAnsi="Times New Roman"/>
          <w:sz w:val="18"/>
          <w:szCs w:val="18"/>
          <w:color w:val="auto"/>
        </w:rPr>
        <w:t>Total revenues increased by 17.9%, or $4.0 million, to $26.3 million, compared to $22.3 million in the same period in the prior year. Our commercial revenue was $26.2 million in the six-months ended June 30, 2024, an increase of $4.1 million, or 18.3%, compared to $22.1 million in the corresponding period in the prior year. The growth in commercial revenues was largely driven by deeper penetration within customer accounts and new accounts for full-thickness skin defect.</w:t>
      </w:r>
    </w:p>
    <w:p>
      <w:pPr>
        <w:spacing w:after="0" w:line="182"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Gross profit margin was 86.3% compared to 82.6% in the corresponding period in the prior year. This was largely driven by increases in both revenues and the volume of production.</w:t>
      </w:r>
    </w:p>
    <w:p>
      <w:pPr>
        <w:spacing w:after="0" w:line="163"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BARDA income decreased to zero, compared to $1.2 million in the corresponding period in the prior year due to the ending of reimbursable clinical trials. BARDA income in the prior year consisted of funding received from the Biomedical Advanced Research and Development Authority, under the Assistant Secretary for Preparedness and Response, within the U.S. Department of Health and Human Services, under ongoing USG Contract No. HHSO100201500028C.</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 increased by 36.5% or $14.8 million to $55.5 million, compared with $40.7 million in the corresponding period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w:t>
      </w:r>
    </w:p>
    <w:p>
      <w:pPr>
        <w:spacing w:after="0" w:line="20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75.0%, or $12.4 million, to $28.9 million, compared to $16.5 million in the corresponding period in the prior year. Higher costs in the current year were primarily related to an increase in salaries and benefits and personnel expenses of approximately $5.5 million, commissions expense of $3.9 million, and stock-based compensation expense of $1.3 million, $0.7 million in professional fees, $0.4 million increase in travel expenses and $0.2 million in rent expense, plus $0.4 million in all other, net. The increase in salaries and benefits, personnel related expenses, stock-based compensation and travel</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11" w:right="239" w:bottom="1440" w:gutter="0" w:footer="0" w:header="0"/>
        </w:sectPr>
      </w:pPr>
    </w:p>
    <w:bookmarkStart w:id="32" w:name="page33"/>
    <w:bookmarkEnd w:id="32"/>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expenses are due to the expansion of the sales force to support our growing commercial capabilities. Higher commissions were directly associated with the increase in revenues. The increase in professional fees are primarily due to consulting expenses for our foreign distribution network. The increase in rent is due to increased office space to accommodate our growing operations.</w:t>
      </w:r>
    </w:p>
    <w:p>
      <w:pPr>
        <w:spacing w:after="0" w:line="17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14.0%, or $2.0 million, to $16.5 million, compared to $14.5 million in the same period in the prior year. The increase was attributable to an increase in salaries and benefits and personnel expenses of $1.5 million, an increase in severance benefits of $0.8 million, an increase in stock-based compensation of $0.7 million, partially offset by lower deferred compensation expenses of $1.0 million. The increase in salaries and benefits and stock-based compensation are primarily attributable to headcount growth to support the expansion of our business. The increase severance payments of $0.8 million are due to termination payments for a former executive. The decrease in deferred compensation expense is driven by a lower stock price used to calculate the deferred compensation liability for the deferred restricted stock awards.</w:t>
      </w:r>
    </w:p>
    <w:p>
      <w:pPr>
        <w:spacing w:after="0" w:line="186"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4.3%, or $0.4 million, to $10.1 million, compared to $9.7 million in the same period in the prior year. The decrease in research and development expenses is primarily due to professional fees and development expenses of approximately $2.5 million related to RECELL GO and full-thickness skin defects offset by an increase in salaries and benefits of $1.7 million and stock-based compensation of $0.4 million, due to the increase in headcount resulting from the deployment of Medical Science Liaisons.</w:t>
      </w:r>
    </w:p>
    <w:p>
      <w:pPr>
        <w:spacing w:after="0" w:line="182"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8"/>
          <w:szCs w:val="18"/>
          <w:color w:val="auto"/>
        </w:rPr>
        <w:t>Interest expense increased approximately $2.7 million in comparison to the same period in the prior year due to the interest expense related to the long-term debt as part of the OrbiMed Credit Agreement, for an aggregate principal amount owed of $40.0 million.</w:t>
      </w:r>
    </w:p>
    <w:p>
      <w:pPr>
        <w:spacing w:after="0" w:line="163"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Other income, net increased by $18,000 or 1.2% to income of $1.5 million. In the current period other income consists of $1.2 million related to the change in fair value of warrant liability, $1.7 million in income related to our investments, and $0.2 million in other gains, net, offset by a non-cash charge of $1.6 million due to the change in fair value of the debt. In the prior period, income consisted of $1.3 million related to our investments and $0.2 million in other gains,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expect to utilize cash reserves until U.S. sales of our products reach a level sufficient to fund ongoing operations. We have historically funded research and development activities, and more recently have funded a substantial investment in sales and marketing activities, through raising capital by issuing securities and the issuance of debt. On October 18, 2023, we entered into a Credit Agreement with an affiliate of OrbiMed Advisors, LLC. The Credit Agreement provides for a five-year senior secured credit facility in an aggregate principal amount of up to $90.0 million, of which $40.0 million was drawn during the fourth quarter of 2023. In addition, an aggregate of $50.0 million will be made available in two separate $25.0 million tranches, at our discretion, subject to certain net revenue requirements. The first tranche of $25.0 million is available on or before December 31, 2024. The second tranche of $25.0 million is available on or prior to June 30, 2025, only if the first tranche was drawn upon. We have monthly interest rate payments for the debt at a rate equal to the greater of (a) forward-looking one-month term SOFR rate and (b) four percent (4.0%) per annum, plus eight percent (8.0%). In the event that we do not meet certain 12-month trailing revenue targets at the end of certain fiscal quarters, starting December 31, 2024, the outstanding balance of the loan must be repaid in equal quarterly installments of 5.0% of the funded amount through the maturity date. As of June 30, 2024, our projected revenues, for the trailing 12 months ending December 31, 2024, will exceed the minimum revenue requirements under the credit agreement. We had approximately $17.5 million in cash and cash equivalents and $36.6 million in marketable securities as of June 30, 2024.</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the date of these financial statements, we believe we have sufficient cash reserves to fund operations for the next 12-months.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5"/>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9"/>
                <w:szCs w:val="19"/>
                <w:color w:val="auto"/>
              </w:rPr>
            </w:pPr>
          </w:p>
        </w:tc>
      </w:tr>
      <w:tr>
        <w:trPr>
          <w:trHeight w:val="22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operations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(33,644 )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(18,174 )</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(4,666 )</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37,485</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33" w:name="page34"/>
    <w:bookmarkEnd w:id="33"/>
    <w:p>
      <w:pPr>
        <w:ind w:firstLine="749"/>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was $33.7 million and $18.2 million during the six-months ended June 30, 2024, and 2023, respectively. The increase in net cash used in operations was primarily due to higher operating costs.</w:t>
      </w:r>
    </w:p>
    <w:p>
      <w:pPr>
        <w:spacing w:after="0" w:line="16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$27.5 million and $37.2 million during the six-months ended June 30, 2024 and 2023, respectively. The decrease in cash provided by investing activities is primarily attributable to lower cash inflows from maturities of marketable securities in the current year compared to the prior year, offset primarily by an increase in cash outflow for capital expenditures. The increase in capital expenditures in the current year is primarily related to the leasehold improvement in the Ventura production facility to enhance manufacturing output and materials related to our RECELL GO RPDs.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 was $1.5 million and $0.3 million during the six-months ended June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provided by financing activities is related to proceeds from the exercises of stock options and purchases of stock under the ESPP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Management and Material Cash Requirements</w:t>
      </w:r>
    </w:p>
    <w:p>
      <w:pPr>
        <w:spacing w:after="0" w:line="225"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us. We regularly review our capital structure and seek to take advantage of available opportunities to improve outcomes for us and our stockholders.</w:t>
      </w:r>
    </w:p>
    <w:p>
      <w:pPr>
        <w:spacing w:after="0" w:line="17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For the six-months ended June 30, 2024, there were no dividends paid and we have no plans to commence the payment of dividends. As part of the Stedical Agreement, we have minimum purchase requirements for PermeaDerm inventory of $5.0 million dollars. As of June 30, 2024, we have purchased $2.6 million and have approximately $2.4 million of purchases remaining to satisfy the requirement. With the exception of the inventory purchases from Stedical, we do not have any other purchase commitments or long-term contractual obligations except for lease obligations as of June 30, 2024. Refer to Note 7 of our Consolidated Financial Statements for further details on our lease obligations. In addition, we have no material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While have no committed plans to issue further shares on the market, we will continue to assess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 xml:space="preserve">Except as disclosed in Note 2 of our Consolidated Financial Statements, </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ere have been no material changes to our critical accounting policies and estimates from the information provided in Item 7, “Management’s Discussion and Analysis of Financial Condition and Results of Operations,” included in the Company’s Quarterly Report on Form 10-Q for the quarter-ended June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June 30, 2024, our Chief Executive Officer and our Chief Financial Officer concluded that our disclosure controls and procedures, as defined in Securities Exchange Act Rule 13a-15(e) and 15d-15(e), were effective.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34" w:name="page35"/>
    <w:bookmarkEnd w:id="34"/>
    <w:p>
      <w:pPr>
        <w:ind w:firstLine="749"/>
        <w:spacing w:after="0" w:line="260" w:lineRule="auto"/>
        <w:rPr>
          <w:sz w:val="20"/>
          <w:szCs w:val="20"/>
          <w:color w:val="auto"/>
        </w:rPr>
      </w:pPr>
      <w:r>
        <w:rPr>
          <w:rFonts w:ascii="Times New Roman" w:cs="Times New Roman" w:eastAsia="Times New Roman" w:hAnsi="Times New Roman"/>
          <w:sz w:val="18"/>
          <w:szCs w:val="18"/>
          <w:color w:val="auto"/>
        </w:rPr>
        <w:t>Our disclosure controls and procedures have been formulated to ensure that (i) information that we are required to disclose in reports that we file or submit under the Securities Exchange Act of 1934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and 15d-15(f) under the Exchange Act) during the second quarter of fiscal year 2024 covered by this Quarterly Report on Form 10-Q that have materially affected, or are reasonably likely to materially affect, our internal controls over financial reporting.</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currently a party to any legal proceedings that we believe will have a material adverse effect on our business or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however, be subject to various claims or legal actions arising in the ordinary course of business from time to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in the 2023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“Risk Factors,” included in the 2023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7"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the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tcPr>
          <w:p>
            <w:pPr>
              <w:spacing w:after="0"/>
              <w:rPr>
                <w:sz w:val="13"/>
                <w:szCs w:val="13"/>
                <w:color w:val="auto"/>
              </w:rPr>
            </w:pPr>
          </w:p>
        </w:tc>
        <w:tc>
          <w:tcPr>
            <w:tcW w:w="1008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40" w:type="dxa"/>
            <w:vAlign w:val="bottom"/>
          </w:tcPr>
          <w:p>
            <w:pPr>
              <w:spacing w:after="0"/>
              <w:rPr>
                <w:sz w:val="16"/>
                <w:szCs w:val="16"/>
                <w:color w:val="auto"/>
              </w:rPr>
            </w:pPr>
          </w:p>
        </w:tc>
        <w:tc>
          <w:tcPr>
            <w:tcW w:w="100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Certificate of Incorporation (incorporated by reference to Exhibit 3.1 to the registrant’s Form 8-K12B filed on June 30,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9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Certificate of Amendment of Certificate of Incorporation (incorporated by reference to Exhibit 3.2 of the registrant’s Form 10-KT filed on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8"/>
              </w:rPr>
            </w:pPr>
            <w:hyperlink r:id="rId292">
              <w:r>
                <w:rPr>
                  <w:rFonts w:ascii="Times New Roman" w:cs="Times New Roman" w:eastAsia="Times New Roman" w:hAnsi="Times New Roman"/>
                  <w:sz w:val="18"/>
                  <w:szCs w:val="18"/>
                  <w:color w:val="0000FF"/>
                  <w:w w:val="98"/>
                </w:rPr>
                <w:t>February 28, 2022)</w:t>
              </w:r>
            </w:hyperlink>
          </w:p>
        </w:tc>
        <w:tc>
          <w:tcPr>
            <w:tcW w:w="20" w:type="dxa"/>
            <w:vAlign w:val="bottom"/>
            <w:tcBorders>
              <w:bottom w:val="single" w:sz="8" w:color="0000EE"/>
            </w:tcBorders>
          </w:tcPr>
          <w:p>
            <w:pPr>
              <w:spacing w:after="0"/>
              <w:rPr>
                <w:sz w:val="17"/>
                <w:szCs w:val="17"/>
                <w:color w:val="auto"/>
              </w:rPr>
            </w:pPr>
          </w:p>
        </w:tc>
        <w:tc>
          <w:tcPr>
            <w:tcW w:w="86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5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Amended and Restated Bylaws (incorporated by reference to Exhibit 3.3 of the registrant’s Form 10-KT filed on February 28, 2022)</w:t>
              </w:r>
            </w:hyperlink>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4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Chief Executive Officer</w:t>
            </w:r>
          </w:p>
        </w:tc>
        <w:tc>
          <w:tcPr>
            <w:tcW w:w="6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3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6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40" w:type="dxa"/>
            <w:vAlign w:val="bottom"/>
          </w:tcPr>
          <w:p>
            <w:pPr>
              <w:spacing w:after="0"/>
              <w:rPr>
                <w:sz w:val="24"/>
                <w:szCs w:val="24"/>
                <w:color w:val="auto"/>
              </w:rPr>
            </w:pPr>
          </w:p>
        </w:tc>
        <w:tc>
          <w:tcPr>
            <w:tcW w:w="2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18 U.S.C. Section 1350 Certifications</w:t>
            </w:r>
          </w:p>
        </w:tc>
        <w:tc>
          <w:tcPr>
            <w:tcW w:w="40" w:type="dxa"/>
            <w:vAlign w:val="bottom"/>
            <w:tcBorders>
              <w:bottom w:val="single" w:sz="8" w:color="0000EE"/>
            </w:tcBorders>
          </w:tcPr>
          <w:p>
            <w:pPr>
              <w:spacing w:after="0"/>
              <w:rPr>
                <w:sz w:val="24"/>
                <w:szCs w:val="24"/>
                <w:color w:val="auto"/>
              </w:rPr>
            </w:pPr>
          </w:p>
        </w:tc>
        <w:tc>
          <w:tcPr>
            <w:tcW w:w="7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hanging="723"/>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0"/>
        <w:spacing w:after="0"/>
        <w:tabs>
          <w:tab w:leader="none" w:pos="560" w:val="left"/>
          <w:tab w:leader="none" w:pos="5980" w:val="left"/>
        </w:tabs>
        <w:rPr>
          <w:sz w:val="20"/>
          <w:szCs w:val="20"/>
          <w:color w:val="auto"/>
        </w:rPr>
      </w:pPr>
      <w:r>
        <w:rPr>
          <w:rFonts w:ascii="Times New Roman" w:cs="Times New Roman" w:eastAsia="Times New Roman" w:hAnsi="Times New Roman"/>
          <w:sz w:val="18"/>
          <w:szCs w:val="18"/>
          <w:color w:val="auto"/>
        </w:rPr>
        <w:t>Date:</w:t>
        <w:tab/>
        <w:t>August 8, 2024</w:t>
      </w:r>
      <w:r>
        <w:rPr>
          <w:sz w:val="20"/>
          <w:szCs w:val="20"/>
          <w:color w:val="auto"/>
        </w:rPr>
        <w:tab/>
      </w:r>
      <w:r>
        <w:rPr>
          <w:rFonts w:ascii="Times New Roman" w:cs="Times New Roman" w:eastAsia="Times New Roman" w:hAnsi="Times New Roman"/>
          <w:sz w:val="17"/>
          <w:szCs w:val="17"/>
          <w:color w:val="auto"/>
        </w:rPr>
        <w:t>AVITA MEDICAL, INC.</w:t>
      </w:r>
    </w:p>
    <w:p>
      <w:pPr>
        <w:spacing w:after="0" w:line="26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26035</wp:posOffset>
            </wp:positionV>
            <wp:extent cx="3133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James Corbett</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26035</wp:posOffset>
            </wp:positionV>
            <wp:extent cx="3133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David O'Toole</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07" w:right="55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Corbett,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660" w:right="520" w:hanging="514"/>
        <w:spacing w:after="0" w:line="265"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660" w:right="80" w:hanging="514"/>
        <w:spacing w:after="0" w:line="265"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660" w:right="180" w:hanging="514"/>
        <w:spacing w:after="0" w:line="265"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660" w:hanging="514"/>
        <w:spacing w:after="0" w:line="265"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60" w:right="140" w:hanging="514"/>
        <w:spacing w:after="0" w:line="281"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60" w:right="420" w:hanging="514"/>
        <w:spacing w:after="0" w:line="281" w:lineRule="auto"/>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26035</wp:posOffset>
            </wp:positionV>
            <wp:extent cx="35534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9"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tab/>
        <w:t>James Corbett</w:t>
      </w:r>
    </w:p>
    <w:p>
      <w:pPr>
        <w:spacing w:after="0" w:line="36"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O'Toole,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660" w:right="560" w:hanging="514"/>
        <w:spacing w:after="0" w:line="265"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660" w:right="140" w:hanging="514"/>
        <w:spacing w:after="0" w:line="265"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660" w:right="180" w:hanging="514"/>
        <w:spacing w:after="0" w:line="265"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660" w:hanging="514"/>
        <w:spacing w:after="0" w:line="265"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60" w:right="140" w:hanging="514"/>
        <w:spacing w:after="0" w:line="281"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60" w:right="420" w:hanging="514"/>
        <w:spacing w:after="0" w:line="281" w:lineRule="auto"/>
        <w:tabs>
          <w:tab w:leader="none" w:pos="1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26035</wp:posOffset>
            </wp:positionV>
            <wp:extent cx="35534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29" w:lineRule="exact"/>
        <w:rPr>
          <w:sz w:val="20"/>
          <w:szCs w:val="20"/>
          <w:color w:val="auto"/>
        </w:rPr>
      </w:pPr>
    </w:p>
    <w:p>
      <w:pPr>
        <w:ind w:left="566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O'Toole</w:t>
      </w:r>
    </w:p>
    <w:p>
      <w:pPr>
        <w:spacing w:after="0" w:line="36" w:lineRule="exact"/>
        <w:rPr>
          <w:sz w:val="20"/>
          <w:szCs w:val="20"/>
          <w:color w:val="auto"/>
        </w:rPr>
      </w:pPr>
    </w:p>
    <w:p>
      <w:pPr>
        <w:ind w:left="56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Quarterly Report on Form 10-Q for the period ended June 30, 2024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26035</wp:posOffset>
            </wp:positionV>
            <wp:extent cx="35445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85"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Corbett</w:t>
      </w:r>
    </w:p>
    <w:p>
      <w:pPr>
        <w:spacing w:after="0" w:line="36"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26035</wp:posOffset>
            </wp:positionV>
            <wp:extent cx="35445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85"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O'Toole</w:t>
      </w:r>
    </w:p>
    <w:p>
      <w:pPr>
        <w:spacing w:after="0" w:line="36"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7" w:right="37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291" Type="http://schemas.openxmlformats.org/officeDocument/2006/relationships/hyperlink" Target="https://www.sec.gov/Archives/edgar/data/1762303/000119312520183429/d75062dex31.htm" TargetMode="External"/><Relationship Id="rId292" Type="http://schemas.openxmlformats.org/officeDocument/2006/relationships/hyperlink" Target="https://www.sec.gov/Archives/edgar/data/1762303/000156459022007617/rcel-ex32_14.htm" TargetMode="External"/><Relationship Id="rId293" Type="http://schemas.openxmlformats.org/officeDocument/2006/relationships/hyperlink" Target="https://www.sec.gov/Archives/edgar/data/1762303/000156459022007617/rcel-ex33_5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2024-08-08T15:41:32Z</dcterms:created>
  <dcterms:modified xsi:type="dcterms:W3CDTF">2024-08-08T15:41:32Z</dcterms:modified>
</cp:coreProperties>
</file>